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3B6" w:rsidRPr="0036125F" w:rsidRDefault="00F57DA5" w:rsidP="00C643B6">
      <w:pPr>
        <w:jc w:val="center"/>
        <w:rPr>
          <w:b/>
        </w:rPr>
      </w:pPr>
      <w:r w:rsidRPr="0036125F">
        <w:rPr>
          <w:b/>
        </w:rPr>
        <w:t xml:space="preserve">INFORME DE RESULTADOS DE PARTICIPACIÓN EN TRÁMITES DEL SECTOR </w:t>
      </w:r>
      <w:r w:rsidR="00C643B6" w:rsidRPr="0036125F">
        <w:rPr>
          <w:b/>
        </w:rPr>
        <w:t>DE LA INCLUSION SOCIAL Y LA RECONCILIACIÓN</w:t>
      </w:r>
      <w:r w:rsidR="00E42D74">
        <w:rPr>
          <w:b/>
        </w:rPr>
        <w:t xml:space="preserve"> – DIRECTIVA PRESIDENCIAL 07 DE 2018</w:t>
      </w:r>
    </w:p>
    <w:p w:rsidR="00C643B6" w:rsidRDefault="00C643B6"/>
    <w:p w:rsidR="007F27E8" w:rsidRPr="008505DD" w:rsidRDefault="0036125F">
      <w:pPr>
        <w:rPr>
          <w:b/>
          <w:i/>
        </w:rPr>
      </w:pPr>
      <w:r w:rsidRPr="008505DD">
        <w:rPr>
          <w:b/>
          <w:i/>
        </w:rPr>
        <w:t>Aspectos G</w:t>
      </w:r>
      <w:r w:rsidR="00F57DA5" w:rsidRPr="008505DD">
        <w:rPr>
          <w:b/>
          <w:i/>
        </w:rPr>
        <w:t>eneral</w:t>
      </w:r>
      <w:r w:rsidRPr="008505DD">
        <w:rPr>
          <w:b/>
          <w:i/>
        </w:rPr>
        <w:t xml:space="preserve">es de la implementación </w:t>
      </w:r>
      <w:r w:rsidR="001677AC">
        <w:rPr>
          <w:b/>
          <w:i/>
        </w:rPr>
        <w:t>d</w:t>
      </w:r>
      <w:r w:rsidRPr="008505DD">
        <w:rPr>
          <w:b/>
          <w:i/>
        </w:rPr>
        <w:t>e la Directiva 07 de 2018</w:t>
      </w:r>
    </w:p>
    <w:p w:rsidR="007560A6" w:rsidRDefault="00E65C09" w:rsidP="00FC66FC">
      <w:pPr>
        <w:jc w:val="both"/>
      </w:pPr>
      <w:r>
        <w:t xml:space="preserve">Prosperidad Social, realizó reuniones previas a la implementación </w:t>
      </w:r>
      <w:r w:rsidR="001677AC">
        <w:t>d</w:t>
      </w:r>
      <w:r>
        <w:t xml:space="preserve">e la Directiva 07 de 2018 con servidores </w:t>
      </w:r>
      <w:r w:rsidR="00FC66FC">
        <w:t xml:space="preserve">públicos </w:t>
      </w:r>
      <w:r>
        <w:t>de las entidades adscritas al sector con el fin d</w:t>
      </w:r>
      <w:r w:rsidR="00FC66FC">
        <w:t>e dar cumplimiento a los aspectos allí señalados.</w:t>
      </w:r>
      <w:r w:rsidR="007560A6">
        <w:t xml:space="preserve"> Se adelantaron reuniones para dar las indicaciones puntuales de la campaña y cómo se debía llevar a cabo, de igual manera s</w:t>
      </w:r>
      <w:r w:rsidR="00FC66FC">
        <w:t>e publicó en la página web de las entidades del sector la invitación a participar en la Campaña Estado Simple – Colomba Ágil.</w:t>
      </w:r>
      <w:r w:rsidR="007560A6">
        <w:t xml:space="preserve"> Se invitó a las entidades adscritas para que implementaran mecanismos complementarios de recolección de la información, como asambleas de beneficiarios, recolección manual de la información en las regionales,</w:t>
      </w:r>
      <w:r w:rsidR="00FC66FC">
        <w:t xml:space="preserve"> </w:t>
      </w:r>
      <w:r w:rsidR="007560A6">
        <w:t>entre otras</w:t>
      </w:r>
    </w:p>
    <w:p w:rsidR="007F27E8" w:rsidRDefault="00FC66FC" w:rsidP="00FC66FC">
      <w:pPr>
        <w:jc w:val="both"/>
      </w:pPr>
      <w:r>
        <w:t>Prosperidad Social no solamente habilitó en la web los formularios destinados para tal fin, sino que complementó la recolección de la información con la asistencia a asambleas del Programa Familias en Acción</w:t>
      </w:r>
      <w:r w:rsidR="007560A6">
        <w:t xml:space="preserve"> y con la recolección de la información en algunas de las regionales de la Entidad con el apoyo de los enlaces municipales del programa</w:t>
      </w:r>
      <w:r>
        <w:t xml:space="preserve"> para conocer de primera mano y de viva voz de los beneficiarios del programa cuales podrían ser las mejores opciones para mejorar el trámite </w:t>
      </w:r>
      <w:r w:rsidRPr="00FC66FC">
        <w:rPr>
          <w:b/>
          <w:i/>
        </w:rPr>
        <w:t>“Acceso y permanencia en el Programa Familias en Acción”</w:t>
      </w:r>
      <w:r>
        <w:t>, que es el único que tiene inscrito prosperidad Social en el SUIT</w:t>
      </w:r>
    </w:p>
    <w:p w:rsidR="00E65C09" w:rsidRDefault="00FC66FC" w:rsidP="00FC66FC">
      <w:pPr>
        <w:jc w:val="both"/>
      </w:pPr>
      <w:r w:rsidRPr="00FC66FC">
        <w:t xml:space="preserve">De la información recopilada por los diferentes canales habilitados para la implementación de La Directiva 07 </w:t>
      </w:r>
      <w:r>
        <w:t>e</w:t>
      </w:r>
      <w:r w:rsidR="00F57DA5" w:rsidRPr="00FC66FC">
        <w:t xml:space="preserve">l Sector </w:t>
      </w:r>
      <w:r w:rsidR="000E1BF5" w:rsidRPr="00FC66FC">
        <w:t xml:space="preserve">de la Inclusión </w:t>
      </w:r>
      <w:r w:rsidR="00E65C09" w:rsidRPr="00FC66FC">
        <w:t>S</w:t>
      </w:r>
      <w:r w:rsidR="000E1BF5" w:rsidRPr="00FC66FC">
        <w:t xml:space="preserve">ocial y la </w:t>
      </w:r>
      <w:r w:rsidR="00E65C09" w:rsidRPr="00FC66FC">
        <w:t>R</w:t>
      </w:r>
      <w:r w:rsidR="000E1BF5" w:rsidRPr="00FC66FC">
        <w:t>econciliación</w:t>
      </w:r>
      <w:r w:rsidR="00F57DA5" w:rsidRPr="00FC66FC">
        <w:t xml:space="preserve"> recibió </w:t>
      </w:r>
      <w:r w:rsidR="00F82547" w:rsidRPr="00AB3A07">
        <w:rPr>
          <w:b/>
        </w:rPr>
        <w:t>7</w:t>
      </w:r>
      <w:r w:rsidR="00AB3A07" w:rsidRPr="00AB3A07">
        <w:rPr>
          <w:b/>
        </w:rPr>
        <w:t>7</w:t>
      </w:r>
      <w:r w:rsidR="00DB1F38">
        <w:rPr>
          <w:b/>
        </w:rPr>
        <w:t>9</w:t>
      </w:r>
      <w:r w:rsidR="00F57DA5" w:rsidRPr="00AB3A07">
        <w:rPr>
          <w:b/>
        </w:rPr>
        <w:t xml:space="preserve"> solicitudes</w:t>
      </w:r>
      <w:r w:rsidR="00F57DA5" w:rsidRPr="00FC66FC">
        <w:t xml:space="preserve">, las cuales se encuentran distribuidas por entidad así: </w:t>
      </w:r>
    </w:p>
    <w:p w:rsidR="007560A6" w:rsidRDefault="007560A6" w:rsidP="00FC66FC">
      <w:pPr>
        <w:jc w:val="both"/>
      </w:pPr>
    </w:p>
    <w:tbl>
      <w:tblPr>
        <w:tblW w:w="6200" w:type="dxa"/>
        <w:jc w:val="center"/>
        <w:tblCellMar>
          <w:left w:w="70" w:type="dxa"/>
          <w:right w:w="70" w:type="dxa"/>
        </w:tblCellMar>
        <w:tblLook w:val="04A0" w:firstRow="1" w:lastRow="0" w:firstColumn="1" w:lastColumn="0" w:noHBand="0" w:noVBand="1"/>
      </w:tblPr>
      <w:tblGrid>
        <w:gridCol w:w="2200"/>
        <w:gridCol w:w="2180"/>
        <w:gridCol w:w="1820"/>
      </w:tblGrid>
      <w:tr w:rsidR="00FC66FC" w:rsidRPr="00FC66FC" w:rsidTr="00FC66FC">
        <w:trPr>
          <w:trHeight w:val="405"/>
          <w:jc w:val="center"/>
        </w:trPr>
        <w:tc>
          <w:tcPr>
            <w:tcW w:w="2200" w:type="dxa"/>
            <w:tcBorders>
              <w:top w:val="single" w:sz="4" w:space="0" w:color="8EA9DB"/>
              <w:left w:val="single" w:sz="4" w:space="0" w:color="8EA9DB"/>
              <w:bottom w:val="single" w:sz="4" w:space="0" w:color="8EA9DB"/>
              <w:right w:val="nil"/>
            </w:tcBorders>
            <w:shd w:val="clear" w:color="4472C4" w:fill="4472C4"/>
            <w:vAlign w:val="center"/>
            <w:hideMark/>
          </w:tcPr>
          <w:p w:rsidR="00FC66FC" w:rsidRPr="00FC66FC" w:rsidRDefault="00FC66FC" w:rsidP="00FC66FC">
            <w:pPr>
              <w:spacing w:after="0" w:line="240" w:lineRule="auto"/>
              <w:jc w:val="center"/>
              <w:rPr>
                <w:rFonts w:ascii="Calibri" w:eastAsia="Times New Roman" w:hAnsi="Calibri" w:cs="Times New Roman"/>
                <w:b/>
                <w:bCs/>
                <w:i/>
                <w:iCs/>
                <w:color w:val="FFFFFF"/>
                <w:lang w:eastAsia="es-CO"/>
              </w:rPr>
            </w:pPr>
            <w:r w:rsidRPr="00FC66FC">
              <w:rPr>
                <w:rFonts w:ascii="Calibri" w:eastAsia="Times New Roman" w:hAnsi="Calibri" w:cs="Times New Roman"/>
                <w:b/>
                <w:bCs/>
                <w:i/>
                <w:iCs/>
                <w:color w:val="FFFFFF"/>
                <w:lang w:eastAsia="es-CO"/>
              </w:rPr>
              <w:t>ENTIDAD</w:t>
            </w:r>
          </w:p>
        </w:tc>
        <w:tc>
          <w:tcPr>
            <w:tcW w:w="2180" w:type="dxa"/>
            <w:tcBorders>
              <w:top w:val="single" w:sz="4" w:space="0" w:color="8EA9DB"/>
              <w:left w:val="nil"/>
              <w:bottom w:val="single" w:sz="4" w:space="0" w:color="8EA9DB"/>
              <w:right w:val="nil"/>
            </w:tcBorders>
            <w:shd w:val="clear" w:color="4472C4" w:fill="4472C4"/>
            <w:vAlign w:val="center"/>
            <w:hideMark/>
          </w:tcPr>
          <w:p w:rsidR="00FC66FC" w:rsidRPr="00FC66FC" w:rsidRDefault="00FC66FC" w:rsidP="00FC66FC">
            <w:pPr>
              <w:spacing w:after="0" w:line="240" w:lineRule="auto"/>
              <w:jc w:val="center"/>
              <w:rPr>
                <w:rFonts w:ascii="Calibri" w:eastAsia="Times New Roman" w:hAnsi="Calibri" w:cs="Times New Roman"/>
                <w:b/>
                <w:bCs/>
                <w:i/>
                <w:iCs/>
                <w:color w:val="FFFFFF"/>
                <w:lang w:eastAsia="es-CO"/>
              </w:rPr>
            </w:pPr>
            <w:r w:rsidRPr="00FC66FC">
              <w:rPr>
                <w:rFonts w:ascii="Calibri" w:eastAsia="Times New Roman" w:hAnsi="Calibri" w:cs="Times New Roman"/>
                <w:b/>
                <w:bCs/>
                <w:i/>
                <w:iCs/>
                <w:color w:val="FFFFFF"/>
                <w:lang w:eastAsia="es-CO"/>
              </w:rPr>
              <w:t>TOTAL SOLICITUDES</w:t>
            </w:r>
          </w:p>
        </w:tc>
        <w:tc>
          <w:tcPr>
            <w:tcW w:w="1820" w:type="dxa"/>
            <w:tcBorders>
              <w:top w:val="single" w:sz="4" w:space="0" w:color="8EA9DB"/>
              <w:left w:val="nil"/>
              <w:bottom w:val="single" w:sz="4" w:space="0" w:color="8EA9DB"/>
              <w:right w:val="single" w:sz="4" w:space="0" w:color="8EA9DB"/>
            </w:tcBorders>
            <w:shd w:val="clear" w:color="4472C4" w:fill="4472C4"/>
            <w:vAlign w:val="center"/>
            <w:hideMark/>
          </w:tcPr>
          <w:p w:rsidR="00FC66FC" w:rsidRPr="00FC66FC" w:rsidRDefault="00FC66FC" w:rsidP="00FC66FC">
            <w:pPr>
              <w:spacing w:after="0" w:line="240" w:lineRule="auto"/>
              <w:jc w:val="center"/>
              <w:rPr>
                <w:rFonts w:ascii="Calibri" w:eastAsia="Times New Roman" w:hAnsi="Calibri" w:cs="Times New Roman"/>
                <w:b/>
                <w:bCs/>
                <w:i/>
                <w:iCs/>
                <w:color w:val="FFFFFF"/>
                <w:lang w:eastAsia="es-CO"/>
              </w:rPr>
            </w:pPr>
            <w:r w:rsidRPr="00FC66FC">
              <w:rPr>
                <w:rFonts w:ascii="Calibri" w:eastAsia="Times New Roman" w:hAnsi="Calibri" w:cs="Times New Roman"/>
                <w:b/>
                <w:bCs/>
                <w:i/>
                <w:iCs/>
                <w:color w:val="FFFFFF"/>
                <w:lang w:eastAsia="es-CO"/>
              </w:rPr>
              <w:t>PARTICIPACIÓN</w:t>
            </w:r>
          </w:p>
        </w:tc>
      </w:tr>
      <w:tr w:rsidR="00FC66FC" w:rsidRPr="00FC66FC" w:rsidTr="00FC66FC">
        <w:trPr>
          <w:trHeight w:val="405"/>
          <w:jc w:val="center"/>
        </w:trPr>
        <w:tc>
          <w:tcPr>
            <w:tcW w:w="2200" w:type="dxa"/>
            <w:tcBorders>
              <w:top w:val="single" w:sz="4" w:space="0" w:color="8EA9DB"/>
              <w:left w:val="single" w:sz="4" w:space="0" w:color="8EA9DB"/>
              <w:bottom w:val="single" w:sz="4" w:space="0" w:color="8EA9DB"/>
              <w:right w:val="nil"/>
            </w:tcBorders>
            <w:shd w:val="clear" w:color="D9E1F2" w:fill="D9E1F2"/>
            <w:vAlign w:val="center"/>
            <w:hideMark/>
          </w:tcPr>
          <w:p w:rsidR="00FC66FC" w:rsidRPr="00FC66FC" w:rsidRDefault="00FC66FC" w:rsidP="00FC66FC">
            <w:pPr>
              <w:spacing w:after="0" w:line="240" w:lineRule="auto"/>
              <w:jc w:val="center"/>
              <w:rPr>
                <w:rFonts w:ascii="Calibri" w:eastAsia="Times New Roman" w:hAnsi="Calibri" w:cs="Times New Roman"/>
                <w:color w:val="000000"/>
                <w:lang w:eastAsia="es-CO"/>
              </w:rPr>
            </w:pPr>
            <w:r w:rsidRPr="00FC66FC">
              <w:rPr>
                <w:rFonts w:ascii="Calibri" w:eastAsia="Times New Roman" w:hAnsi="Calibri" w:cs="Times New Roman"/>
                <w:color w:val="000000"/>
                <w:lang w:eastAsia="es-CO"/>
              </w:rPr>
              <w:t>Prosperidad Social</w:t>
            </w:r>
          </w:p>
        </w:tc>
        <w:tc>
          <w:tcPr>
            <w:tcW w:w="2180" w:type="dxa"/>
            <w:tcBorders>
              <w:top w:val="single" w:sz="4" w:space="0" w:color="8EA9DB"/>
              <w:left w:val="nil"/>
              <w:bottom w:val="single" w:sz="4" w:space="0" w:color="8EA9DB"/>
              <w:right w:val="nil"/>
            </w:tcBorders>
            <w:shd w:val="clear" w:color="D9E1F2" w:fill="D9E1F2"/>
            <w:vAlign w:val="center"/>
            <w:hideMark/>
          </w:tcPr>
          <w:p w:rsidR="00FC66FC" w:rsidRPr="00FC66FC" w:rsidRDefault="00FC66FC" w:rsidP="00FC66FC">
            <w:pPr>
              <w:spacing w:after="0" w:line="240" w:lineRule="auto"/>
              <w:jc w:val="center"/>
              <w:rPr>
                <w:rFonts w:ascii="Calibri" w:eastAsia="Times New Roman" w:hAnsi="Calibri" w:cs="Times New Roman"/>
                <w:color w:val="000000"/>
                <w:lang w:eastAsia="es-CO"/>
              </w:rPr>
            </w:pPr>
            <w:r w:rsidRPr="00FC66FC">
              <w:rPr>
                <w:rFonts w:ascii="Calibri" w:eastAsia="Times New Roman" w:hAnsi="Calibri" w:cs="Times New Roman"/>
                <w:color w:val="000000"/>
                <w:lang w:eastAsia="es-CO"/>
              </w:rPr>
              <w:t>7</w:t>
            </w:r>
            <w:r w:rsidR="00A85FD1">
              <w:rPr>
                <w:rFonts w:ascii="Calibri" w:eastAsia="Times New Roman" w:hAnsi="Calibri" w:cs="Times New Roman"/>
                <w:color w:val="000000"/>
                <w:lang w:eastAsia="es-CO"/>
              </w:rPr>
              <w:t>51</w:t>
            </w:r>
          </w:p>
        </w:tc>
        <w:tc>
          <w:tcPr>
            <w:tcW w:w="1820" w:type="dxa"/>
            <w:tcBorders>
              <w:top w:val="single" w:sz="4" w:space="0" w:color="8EA9DB"/>
              <w:left w:val="nil"/>
              <w:bottom w:val="single" w:sz="4" w:space="0" w:color="8EA9DB"/>
              <w:right w:val="single" w:sz="4" w:space="0" w:color="8EA9DB"/>
            </w:tcBorders>
            <w:shd w:val="clear" w:color="D9E1F2" w:fill="D9E1F2"/>
            <w:vAlign w:val="center"/>
            <w:hideMark/>
          </w:tcPr>
          <w:p w:rsidR="00FC66FC" w:rsidRPr="00FC66FC" w:rsidRDefault="00FC66FC" w:rsidP="00FC66FC">
            <w:pPr>
              <w:spacing w:after="0" w:line="240" w:lineRule="auto"/>
              <w:jc w:val="center"/>
              <w:rPr>
                <w:rFonts w:ascii="Calibri" w:eastAsia="Times New Roman" w:hAnsi="Calibri" w:cs="Times New Roman"/>
                <w:color w:val="000000"/>
                <w:lang w:eastAsia="es-CO"/>
              </w:rPr>
            </w:pPr>
            <w:r w:rsidRPr="00FC66FC">
              <w:rPr>
                <w:rFonts w:ascii="Calibri" w:eastAsia="Times New Roman" w:hAnsi="Calibri" w:cs="Times New Roman"/>
                <w:color w:val="000000"/>
                <w:lang w:eastAsia="es-CO"/>
              </w:rPr>
              <w:t>96%</w:t>
            </w:r>
          </w:p>
        </w:tc>
      </w:tr>
      <w:tr w:rsidR="00FC66FC" w:rsidRPr="00FC66FC" w:rsidTr="00FC66FC">
        <w:trPr>
          <w:trHeight w:val="405"/>
          <w:jc w:val="center"/>
        </w:trPr>
        <w:tc>
          <w:tcPr>
            <w:tcW w:w="2200" w:type="dxa"/>
            <w:tcBorders>
              <w:top w:val="single" w:sz="4" w:space="0" w:color="8EA9DB"/>
              <w:left w:val="single" w:sz="4" w:space="0" w:color="8EA9DB"/>
              <w:bottom w:val="single" w:sz="4" w:space="0" w:color="8EA9DB"/>
              <w:right w:val="nil"/>
            </w:tcBorders>
            <w:shd w:val="clear" w:color="auto" w:fill="auto"/>
            <w:vAlign w:val="center"/>
            <w:hideMark/>
          </w:tcPr>
          <w:p w:rsidR="00FC66FC" w:rsidRPr="00FC66FC" w:rsidRDefault="00FC66FC" w:rsidP="00FC66FC">
            <w:pPr>
              <w:spacing w:after="0" w:line="240" w:lineRule="auto"/>
              <w:jc w:val="center"/>
              <w:rPr>
                <w:rFonts w:ascii="Calibri" w:eastAsia="Times New Roman" w:hAnsi="Calibri" w:cs="Times New Roman"/>
                <w:color w:val="000000"/>
                <w:lang w:eastAsia="es-CO"/>
              </w:rPr>
            </w:pPr>
            <w:r w:rsidRPr="00FC66FC">
              <w:rPr>
                <w:rFonts w:ascii="Calibri" w:eastAsia="Times New Roman" w:hAnsi="Calibri" w:cs="Times New Roman"/>
                <w:color w:val="000000"/>
                <w:lang w:eastAsia="es-CO"/>
              </w:rPr>
              <w:t>ICBF</w:t>
            </w:r>
          </w:p>
        </w:tc>
        <w:tc>
          <w:tcPr>
            <w:tcW w:w="2180" w:type="dxa"/>
            <w:tcBorders>
              <w:top w:val="single" w:sz="4" w:space="0" w:color="8EA9DB"/>
              <w:left w:val="nil"/>
              <w:bottom w:val="single" w:sz="4" w:space="0" w:color="8EA9DB"/>
              <w:right w:val="nil"/>
            </w:tcBorders>
            <w:shd w:val="clear" w:color="auto" w:fill="auto"/>
            <w:vAlign w:val="center"/>
            <w:hideMark/>
          </w:tcPr>
          <w:p w:rsidR="00FC66FC" w:rsidRPr="00FC66FC" w:rsidRDefault="00FC66FC" w:rsidP="00FC66FC">
            <w:pPr>
              <w:spacing w:after="0" w:line="240" w:lineRule="auto"/>
              <w:jc w:val="center"/>
              <w:rPr>
                <w:rFonts w:ascii="Calibri" w:eastAsia="Times New Roman" w:hAnsi="Calibri" w:cs="Times New Roman"/>
                <w:color w:val="000000"/>
                <w:lang w:eastAsia="es-CO"/>
              </w:rPr>
            </w:pPr>
            <w:r w:rsidRPr="00FC66FC">
              <w:rPr>
                <w:rFonts w:ascii="Calibri" w:eastAsia="Times New Roman" w:hAnsi="Calibri" w:cs="Times New Roman"/>
                <w:color w:val="000000"/>
                <w:lang w:eastAsia="es-CO"/>
              </w:rPr>
              <w:t>2</w:t>
            </w:r>
          </w:p>
        </w:tc>
        <w:tc>
          <w:tcPr>
            <w:tcW w:w="1820" w:type="dxa"/>
            <w:tcBorders>
              <w:top w:val="single" w:sz="4" w:space="0" w:color="8EA9DB"/>
              <w:left w:val="nil"/>
              <w:bottom w:val="single" w:sz="4" w:space="0" w:color="8EA9DB"/>
              <w:right w:val="single" w:sz="4" w:space="0" w:color="8EA9DB"/>
            </w:tcBorders>
            <w:shd w:val="clear" w:color="auto" w:fill="auto"/>
            <w:vAlign w:val="center"/>
            <w:hideMark/>
          </w:tcPr>
          <w:p w:rsidR="00FC66FC" w:rsidRPr="00FC66FC" w:rsidRDefault="00FC66FC" w:rsidP="00FC66FC">
            <w:pPr>
              <w:spacing w:after="0" w:line="240" w:lineRule="auto"/>
              <w:jc w:val="center"/>
              <w:rPr>
                <w:rFonts w:ascii="Calibri" w:eastAsia="Times New Roman" w:hAnsi="Calibri" w:cs="Times New Roman"/>
                <w:color w:val="000000"/>
                <w:lang w:eastAsia="es-CO"/>
              </w:rPr>
            </w:pPr>
            <w:r w:rsidRPr="00FC66FC">
              <w:rPr>
                <w:rFonts w:ascii="Calibri" w:eastAsia="Times New Roman" w:hAnsi="Calibri" w:cs="Times New Roman"/>
                <w:color w:val="000000"/>
                <w:lang w:eastAsia="es-CO"/>
              </w:rPr>
              <w:t>0,4%</w:t>
            </w:r>
          </w:p>
        </w:tc>
      </w:tr>
      <w:tr w:rsidR="00FC66FC" w:rsidRPr="00FC66FC" w:rsidTr="00FC66FC">
        <w:trPr>
          <w:trHeight w:val="405"/>
          <w:jc w:val="center"/>
        </w:trPr>
        <w:tc>
          <w:tcPr>
            <w:tcW w:w="2200" w:type="dxa"/>
            <w:tcBorders>
              <w:top w:val="single" w:sz="4" w:space="0" w:color="8EA9DB"/>
              <w:left w:val="single" w:sz="4" w:space="0" w:color="8EA9DB"/>
              <w:bottom w:val="single" w:sz="4" w:space="0" w:color="8EA9DB"/>
              <w:right w:val="nil"/>
            </w:tcBorders>
            <w:shd w:val="clear" w:color="D9E1F2" w:fill="D9E1F2"/>
            <w:vAlign w:val="center"/>
            <w:hideMark/>
          </w:tcPr>
          <w:p w:rsidR="00FC66FC" w:rsidRPr="00FC66FC" w:rsidRDefault="00FC66FC" w:rsidP="00FC66FC">
            <w:pPr>
              <w:spacing w:after="0" w:line="240" w:lineRule="auto"/>
              <w:jc w:val="center"/>
              <w:rPr>
                <w:rFonts w:ascii="Calibri" w:eastAsia="Times New Roman" w:hAnsi="Calibri" w:cs="Times New Roman"/>
                <w:color w:val="000000"/>
                <w:lang w:eastAsia="es-CO"/>
              </w:rPr>
            </w:pPr>
            <w:r w:rsidRPr="00FC66FC">
              <w:rPr>
                <w:rFonts w:ascii="Calibri" w:eastAsia="Times New Roman" w:hAnsi="Calibri" w:cs="Times New Roman"/>
                <w:color w:val="000000"/>
                <w:lang w:eastAsia="es-CO"/>
              </w:rPr>
              <w:t>UARIV</w:t>
            </w:r>
          </w:p>
        </w:tc>
        <w:tc>
          <w:tcPr>
            <w:tcW w:w="2180" w:type="dxa"/>
            <w:tcBorders>
              <w:top w:val="single" w:sz="4" w:space="0" w:color="8EA9DB"/>
              <w:left w:val="nil"/>
              <w:bottom w:val="single" w:sz="4" w:space="0" w:color="8EA9DB"/>
              <w:right w:val="nil"/>
            </w:tcBorders>
            <w:shd w:val="clear" w:color="D9E1F2" w:fill="D9E1F2"/>
            <w:vAlign w:val="center"/>
            <w:hideMark/>
          </w:tcPr>
          <w:p w:rsidR="00FC66FC" w:rsidRPr="00FC66FC" w:rsidRDefault="00FC66FC" w:rsidP="00FC66FC">
            <w:pPr>
              <w:spacing w:after="0" w:line="240" w:lineRule="auto"/>
              <w:jc w:val="center"/>
              <w:rPr>
                <w:rFonts w:ascii="Calibri" w:eastAsia="Times New Roman" w:hAnsi="Calibri" w:cs="Times New Roman"/>
                <w:color w:val="000000"/>
                <w:lang w:eastAsia="es-CO"/>
              </w:rPr>
            </w:pPr>
            <w:r w:rsidRPr="00FC66FC">
              <w:rPr>
                <w:rFonts w:ascii="Calibri" w:eastAsia="Times New Roman" w:hAnsi="Calibri" w:cs="Times New Roman"/>
                <w:color w:val="000000"/>
                <w:lang w:eastAsia="es-CO"/>
              </w:rPr>
              <w:t>3</w:t>
            </w:r>
          </w:p>
        </w:tc>
        <w:tc>
          <w:tcPr>
            <w:tcW w:w="1820" w:type="dxa"/>
            <w:tcBorders>
              <w:top w:val="single" w:sz="4" w:space="0" w:color="8EA9DB"/>
              <w:left w:val="nil"/>
              <w:bottom w:val="single" w:sz="4" w:space="0" w:color="8EA9DB"/>
              <w:right w:val="single" w:sz="4" w:space="0" w:color="8EA9DB"/>
            </w:tcBorders>
            <w:shd w:val="clear" w:color="D9E1F2" w:fill="D9E1F2"/>
            <w:vAlign w:val="center"/>
            <w:hideMark/>
          </w:tcPr>
          <w:p w:rsidR="00FC66FC" w:rsidRPr="00FC66FC" w:rsidRDefault="00FC66FC" w:rsidP="00FC66FC">
            <w:pPr>
              <w:spacing w:after="0" w:line="240" w:lineRule="auto"/>
              <w:jc w:val="center"/>
              <w:rPr>
                <w:rFonts w:ascii="Calibri" w:eastAsia="Times New Roman" w:hAnsi="Calibri" w:cs="Times New Roman"/>
                <w:color w:val="000000"/>
                <w:lang w:eastAsia="es-CO"/>
              </w:rPr>
            </w:pPr>
            <w:r w:rsidRPr="00FC66FC">
              <w:rPr>
                <w:rFonts w:ascii="Calibri" w:eastAsia="Times New Roman" w:hAnsi="Calibri" w:cs="Times New Roman"/>
                <w:color w:val="000000"/>
                <w:lang w:eastAsia="es-CO"/>
              </w:rPr>
              <w:t>0,6%</w:t>
            </w:r>
          </w:p>
        </w:tc>
      </w:tr>
      <w:tr w:rsidR="00FC66FC" w:rsidRPr="00FC66FC" w:rsidTr="00FC66FC">
        <w:trPr>
          <w:trHeight w:val="405"/>
          <w:jc w:val="center"/>
        </w:trPr>
        <w:tc>
          <w:tcPr>
            <w:tcW w:w="2200" w:type="dxa"/>
            <w:tcBorders>
              <w:top w:val="single" w:sz="4" w:space="0" w:color="8EA9DB"/>
              <w:left w:val="single" w:sz="4" w:space="0" w:color="8EA9DB"/>
              <w:bottom w:val="single" w:sz="4" w:space="0" w:color="8EA9DB"/>
              <w:right w:val="nil"/>
            </w:tcBorders>
            <w:shd w:val="clear" w:color="auto" w:fill="auto"/>
            <w:vAlign w:val="center"/>
            <w:hideMark/>
          </w:tcPr>
          <w:p w:rsidR="00FC66FC" w:rsidRPr="00FC66FC" w:rsidRDefault="00FC66FC" w:rsidP="00FC66FC">
            <w:pPr>
              <w:spacing w:after="0" w:line="240" w:lineRule="auto"/>
              <w:jc w:val="center"/>
              <w:rPr>
                <w:rFonts w:ascii="Calibri" w:eastAsia="Times New Roman" w:hAnsi="Calibri" w:cs="Times New Roman"/>
                <w:color w:val="000000"/>
                <w:lang w:eastAsia="es-CO"/>
              </w:rPr>
            </w:pPr>
            <w:r w:rsidRPr="00FC66FC">
              <w:rPr>
                <w:rFonts w:ascii="Calibri" w:eastAsia="Times New Roman" w:hAnsi="Calibri" w:cs="Times New Roman"/>
                <w:color w:val="000000"/>
                <w:lang w:eastAsia="es-CO"/>
              </w:rPr>
              <w:t>CNMH</w:t>
            </w:r>
          </w:p>
        </w:tc>
        <w:tc>
          <w:tcPr>
            <w:tcW w:w="2180" w:type="dxa"/>
            <w:tcBorders>
              <w:top w:val="single" w:sz="4" w:space="0" w:color="8EA9DB"/>
              <w:left w:val="nil"/>
              <w:bottom w:val="single" w:sz="4" w:space="0" w:color="8EA9DB"/>
              <w:right w:val="nil"/>
            </w:tcBorders>
            <w:shd w:val="clear" w:color="auto" w:fill="auto"/>
            <w:vAlign w:val="center"/>
            <w:hideMark/>
          </w:tcPr>
          <w:p w:rsidR="00FC66FC" w:rsidRPr="00FC66FC" w:rsidRDefault="00FC66FC" w:rsidP="00FC66FC">
            <w:pPr>
              <w:spacing w:after="0" w:line="240" w:lineRule="auto"/>
              <w:jc w:val="center"/>
              <w:rPr>
                <w:rFonts w:ascii="Calibri" w:eastAsia="Times New Roman" w:hAnsi="Calibri" w:cs="Times New Roman"/>
                <w:color w:val="000000"/>
                <w:lang w:eastAsia="es-CO"/>
              </w:rPr>
            </w:pPr>
            <w:r w:rsidRPr="00FC66FC">
              <w:rPr>
                <w:rFonts w:ascii="Calibri" w:eastAsia="Times New Roman" w:hAnsi="Calibri" w:cs="Times New Roman"/>
                <w:color w:val="000000"/>
                <w:lang w:eastAsia="es-CO"/>
              </w:rPr>
              <w:t>23</w:t>
            </w:r>
          </w:p>
        </w:tc>
        <w:tc>
          <w:tcPr>
            <w:tcW w:w="1820" w:type="dxa"/>
            <w:tcBorders>
              <w:top w:val="single" w:sz="4" w:space="0" w:color="8EA9DB"/>
              <w:left w:val="nil"/>
              <w:bottom w:val="single" w:sz="4" w:space="0" w:color="8EA9DB"/>
              <w:right w:val="single" w:sz="4" w:space="0" w:color="8EA9DB"/>
            </w:tcBorders>
            <w:shd w:val="clear" w:color="auto" w:fill="auto"/>
            <w:vAlign w:val="center"/>
            <w:hideMark/>
          </w:tcPr>
          <w:p w:rsidR="00FC66FC" w:rsidRPr="00FC66FC" w:rsidRDefault="00FC66FC" w:rsidP="00FC66FC">
            <w:pPr>
              <w:spacing w:after="0" w:line="240" w:lineRule="auto"/>
              <w:jc w:val="center"/>
              <w:rPr>
                <w:rFonts w:ascii="Calibri" w:eastAsia="Times New Roman" w:hAnsi="Calibri" w:cs="Times New Roman"/>
                <w:color w:val="000000"/>
                <w:lang w:eastAsia="es-CO"/>
              </w:rPr>
            </w:pPr>
            <w:r w:rsidRPr="00FC66FC">
              <w:rPr>
                <w:rFonts w:ascii="Calibri" w:eastAsia="Times New Roman" w:hAnsi="Calibri" w:cs="Times New Roman"/>
                <w:color w:val="000000"/>
                <w:lang w:eastAsia="es-CO"/>
              </w:rPr>
              <w:t>3%</w:t>
            </w:r>
          </w:p>
        </w:tc>
      </w:tr>
      <w:tr w:rsidR="00FC66FC" w:rsidRPr="00FC66FC" w:rsidTr="00FC66FC">
        <w:trPr>
          <w:trHeight w:val="300"/>
          <w:jc w:val="center"/>
        </w:trPr>
        <w:tc>
          <w:tcPr>
            <w:tcW w:w="2200" w:type="dxa"/>
            <w:tcBorders>
              <w:top w:val="single" w:sz="4" w:space="0" w:color="8EA9DB"/>
              <w:left w:val="single" w:sz="4" w:space="0" w:color="8EA9DB"/>
              <w:bottom w:val="single" w:sz="4" w:space="0" w:color="8EA9DB"/>
              <w:right w:val="nil"/>
            </w:tcBorders>
            <w:shd w:val="clear" w:color="D9E1F2" w:fill="D9E1F2"/>
            <w:vAlign w:val="center"/>
            <w:hideMark/>
          </w:tcPr>
          <w:p w:rsidR="00FC66FC" w:rsidRPr="00FC66FC" w:rsidRDefault="00FC66FC" w:rsidP="00FC66FC">
            <w:pPr>
              <w:spacing w:after="0" w:line="240" w:lineRule="auto"/>
              <w:jc w:val="center"/>
              <w:rPr>
                <w:rFonts w:ascii="Calibri" w:eastAsia="Times New Roman" w:hAnsi="Calibri" w:cs="Times New Roman"/>
                <w:b/>
                <w:bCs/>
                <w:i/>
                <w:iCs/>
                <w:color w:val="000000"/>
                <w:lang w:eastAsia="es-CO"/>
              </w:rPr>
            </w:pPr>
            <w:r w:rsidRPr="00FC66FC">
              <w:rPr>
                <w:rFonts w:ascii="Calibri" w:eastAsia="Times New Roman" w:hAnsi="Calibri" w:cs="Times New Roman"/>
                <w:b/>
                <w:bCs/>
                <w:i/>
                <w:iCs/>
                <w:color w:val="000000"/>
                <w:lang w:eastAsia="es-CO"/>
              </w:rPr>
              <w:t>TOTAL SECTOR</w:t>
            </w:r>
          </w:p>
        </w:tc>
        <w:tc>
          <w:tcPr>
            <w:tcW w:w="2180" w:type="dxa"/>
            <w:tcBorders>
              <w:top w:val="single" w:sz="4" w:space="0" w:color="8EA9DB"/>
              <w:left w:val="nil"/>
              <w:bottom w:val="single" w:sz="4" w:space="0" w:color="8EA9DB"/>
              <w:right w:val="nil"/>
            </w:tcBorders>
            <w:shd w:val="clear" w:color="D9E1F2" w:fill="D9E1F2"/>
            <w:vAlign w:val="center"/>
            <w:hideMark/>
          </w:tcPr>
          <w:p w:rsidR="00FC66FC" w:rsidRPr="00FC66FC" w:rsidRDefault="00FC66FC" w:rsidP="00FC66FC">
            <w:pPr>
              <w:spacing w:after="0" w:line="240" w:lineRule="auto"/>
              <w:jc w:val="center"/>
              <w:rPr>
                <w:rFonts w:ascii="Calibri" w:eastAsia="Times New Roman" w:hAnsi="Calibri" w:cs="Times New Roman"/>
                <w:b/>
                <w:bCs/>
                <w:i/>
                <w:iCs/>
                <w:color w:val="000000"/>
                <w:lang w:eastAsia="es-CO"/>
              </w:rPr>
            </w:pPr>
            <w:r w:rsidRPr="00FC66FC">
              <w:rPr>
                <w:rFonts w:ascii="Calibri" w:eastAsia="Times New Roman" w:hAnsi="Calibri" w:cs="Times New Roman"/>
                <w:b/>
                <w:bCs/>
                <w:i/>
                <w:iCs/>
                <w:color w:val="000000"/>
                <w:lang w:eastAsia="es-CO"/>
              </w:rPr>
              <w:t>7</w:t>
            </w:r>
            <w:r w:rsidR="00CD2D14">
              <w:rPr>
                <w:rFonts w:ascii="Calibri" w:eastAsia="Times New Roman" w:hAnsi="Calibri" w:cs="Times New Roman"/>
                <w:b/>
                <w:bCs/>
                <w:i/>
                <w:iCs/>
                <w:color w:val="000000"/>
                <w:lang w:eastAsia="es-CO"/>
              </w:rPr>
              <w:t>7</w:t>
            </w:r>
            <w:r w:rsidR="00DB1F38">
              <w:rPr>
                <w:rFonts w:ascii="Calibri" w:eastAsia="Times New Roman" w:hAnsi="Calibri" w:cs="Times New Roman"/>
                <w:b/>
                <w:bCs/>
                <w:i/>
                <w:iCs/>
                <w:color w:val="000000"/>
                <w:lang w:eastAsia="es-CO"/>
              </w:rPr>
              <w:t>9</w:t>
            </w:r>
          </w:p>
        </w:tc>
        <w:tc>
          <w:tcPr>
            <w:tcW w:w="1820" w:type="dxa"/>
            <w:tcBorders>
              <w:top w:val="single" w:sz="4" w:space="0" w:color="8EA9DB"/>
              <w:left w:val="nil"/>
              <w:bottom w:val="single" w:sz="4" w:space="0" w:color="8EA9DB"/>
              <w:right w:val="single" w:sz="4" w:space="0" w:color="8EA9DB"/>
            </w:tcBorders>
            <w:shd w:val="clear" w:color="D9E1F2" w:fill="D9E1F2"/>
            <w:vAlign w:val="center"/>
            <w:hideMark/>
          </w:tcPr>
          <w:p w:rsidR="00FC66FC" w:rsidRPr="00FC66FC" w:rsidRDefault="00FC66FC" w:rsidP="00FC66FC">
            <w:pPr>
              <w:spacing w:after="0" w:line="240" w:lineRule="auto"/>
              <w:jc w:val="center"/>
              <w:rPr>
                <w:rFonts w:ascii="Calibri" w:eastAsia="Times New Roman" w:hAnsi="Calibri" w:cs="Times New Roman"/>
                <w:b/>
                <w:bCs/>
                <w:i/>
                <w:iCs/>
                <w:color w:val="000000"/>
                <w:lang w:eastAsia="es-CO"/>
              </w:rPr>
            </w:pPr>
            <w:r w:rsidRPr="00FC66FC">
              <w:rPr>
                <w:rFonts w:ascii="Calibri" w:eastAsia="Times New Roman" w:hAnsi="Calibri" w:cs="Times New Roman"/>
                <w:b/>
                <w:bCs/>
                <w:i/>
                <w:iCs/>
                <w:color w:val="000000"/>
                <w:lang w:eastAsia="es-CO"/>
              </w:rPr>
              <w:t>100%</w:t>
            </w:r>
          </w:p>
        </w:tc>
      </w:tr>
    </w:tbl>
    <w:p w:rsidR="007560A6" w:rsidRDefault="007560A6" w:rsidP="00E65C09"/>
    <w:p w:rsidR="00E65C09" w:rsidRPr="00A85FD1" w:rsidRDefault="00E65C09" w:rsidP="00182F7A">
      <w:pPr>
        <w:jc w:val="both"/>
      </w:pPr>
      <w:r>
        <w:t>La mayor participación corresponde a ciudadanos (</w:t>
      </w:r>
      <w:r w:rsidR="00AB3A07">
        <w:t>55</w:t>
      </w:r>
      <w:r>
        <w:t xml:space="preserve">%), seguido de </w:t>
      </w:r>
      <w:r w:rsidR="00AB3A07">
        <w:t>servidores públicos</w:t>
      </w:r>
      <w:r>
        <w:t xml:space="preserve"> (</w:t>
      </w:r>
      <w:r w:rsidR="00AB3A07">
        <w:t>44</w:t>
      </w:r>
      <w:r>
        <w:t>%)</w:t>
      </w:r>
      <w:r w:rsidR="001677AC">
        <w:t xml:space="preserve">, </w:t>
      </w:r>
      <w:r w:rsidR="007560A6">
        <w:t>de otra parte,</w:t>
      </w:r>
      <w:r w:rsidR="001677AC">
        <w:t xml:space="preserve"> la participación de</w:t>
      </w:r>
      <w:r>
        <w:t xml:space="preserve"> gremios</w:t>
      </w:r>
      <w:r w:rsidR="00AB3A07">
        <w:t xml:space="preserve"> y empresarios</w:t>
      </w:r>
      <w:r>
        <w:t xml:space="preserve"> </w:t>
      </w:r>
      <w:r w:rsidR="001677AC">
        <w:t xml:space="preserve">no fue relevante dado que obtuvo solo el </w:t>
      </w:r>
      <w:r w:rsidR="00AB3A07">
        <w:t>1</w:t>
      </w:r>
      <w:r>
        <w:t xml:space="preserve">%. Respecto a si son trámites existentes en el Sistema Único de Información de Trámites – SUIT, se observa que </w:t>
      </w:r>
      <w:r w:rsidR="00AB3A07" w:rsidRPr="00AB3A07">
        <w:rPr>
          <w:b/>
          <w:u w:val="single"/>
        </w:rPr>
        <w:t>7</w:t>
      </w:r>
      <w:r w:rsidR="00A85FD1">
        <w:rPr>
          <w:b/>
          <w:u w:val="single"/>
        </w:rPr>
        <w:t>51</w:t>
      </w:r>
      <w:r w:rsidR="00AB3A07">
        <w:t xml:space="preserve"> observaciones corresponden al único tramite que tiene inscrito en el SUIT Prosperidad Social</w:t>
      </w:r>
      <w:r w:rsidR="003D142E">
        <w:t>:</w:t>
      </w:r>
      <w:r w:rsidR="00AB3A07">
        <w:t xml:space="preserve"> </w:t>
      </w:r>
      <w:r w:rsidR="00AB3A07" w:rsidRPr="00AB3A07">
        <w:rPr>
          <w:b/>
        </w:rPr>
        <w:t>“Acceso y Permanencia en el Programa Familias en Acción”</w:t>
      </w:r>
      <w:r w:rsidR="00AB3A07">
        <w:t xml:space="preserve"> y </w:t>
      </w:r>
      <w:r w:rsidR="00AB3A07" w:rsidRPr="00AB3A07">
        <w:rPr>
          <w:b/>
          <w:u w:val="single"/>
        </w:rPr>
        <w:t>23</w:t>
      </w:r>
      <w:r w:rsidR="00AB3A07">
        <w:t xml:space="preserve"> observaciones </w:t>
      </w:r>
      <w:r w:rsidR="00AB3A07">
        <w:lastRenderedPageBreak/>
        <w:t>corresponde</w:t>
      </w:r>
      <w:r w:rsidR="00D877A0">
        <w:t>n</w:t>
      </w:r>
      <w:r w:rsidR="00AB3A07">
        <w:t xml:space="preserve"> al único trámite que tiene el Centro Nacional de Memoria Histórica</w:t>
      </w:r>
      <w:r w:rsidR="00A85FD1">
        <w:t xml:space="preserve"> - CNMH</w:t>
      </w:r>
      <w:r w:rsidR="00AB3A07">
        <w:t xml:space="preserve"> inscrito en el SUIT</w:t>
      </w:r>
      <w:r w:rsidR="00D877A0">
        <w:t>:</w:t>
      </w:r>
      <w:r w:rsidR="00AB3A07">
        <w:t xml:space="preserve"> </w:t>
      </w:r>
      <w:r w:rsidR="00AB3A07" w:rsidRPr="00AB3A07">
        <w:rPr>
          <w:b/>
        </w:rPr>
        <w:t>“Certificación de contribución a la verdad y la memoria histórica”</w:t>
      </w:r>
      <w:r w:rsidR="00A85FD1">
        <w:rPr>
          <w:b/>
        </w:rPr>
        <w:t xml:space="preserve">. </w:t>
      </w:r>
      <w:r w:rsidR="00A85FD1" w:rsidRPr="00A85FD1">
        <w:t>Tres (3)</w:t>
      </w:r>
      <w:r w:rsidR="00A85FD1">
        <w:t xml:space="preserve"> observaciones corresponden</w:t>
      </w:r>
      <w:r w:rsidR="00A85FD1" w:rsidRPr="00A85FD1">
        <w:t xml:space="preserve"> a la Unidad para atención y Reparación a las Víctimas </w:t>
      </w:r>
      <w:r w:rsidR="00A85FD1">
        <w:t>–</w:t>
      </w:r>
      <w:r w:rsidR="00A85FD1" w:rsidRPr="00A85FD1">
        <w:t xml:space="preserve"> UARIV</w:t>
      </w:r>
      <w:r w:rsidR="00A85FD1">
        <w:t xml:space="preserve"> y d</w:t>
      </w:r>
      <w:r w:rsidR="00A85FD1" w:rsidRPr="00A85FD1">
        <w:t xml:space="preserve">os </w:t>
      </w:r>
      <w:r w:rsidR="00A85FD1">
        <w:t>(2) observaciones</w:t>
      </w:r>
      <w:r w:rsidR="00A85FD1" w:rsidRPr="00A85FD1">
        <w:t xml:space="preserve"> corresponden al </w:t>
      </w:r>
      <w:r w:rsidR="00A85FD1">
        <w:t xml:space="preserve">Instituto Colombiano de Bienestar Familiar - </w:t>
      </w:r>
      <w:r w:rsidR="00A85FD1" w:rsidRPr="00A85FD1">
        <w:t>ICFB s</w:t>
      </w:r>
      <w:r w:rsidR="00A85FD1">
        <w:t>i</w:t>
      </w:r>
      <w:r w:rsidR="00A85FD1" w:rsidRPr="00A85FD1">
        <w:t xml:space="preserve">n hacer mención </w:t>
      </w:r>
      <w:proofErr w:type="gramStart"/>
      <w:r w:rsidR="00A85FD1" w:rsidRPr="00A85FD1">
        <w:t>a</w:t>
      </w:r>
      <w:proofErr w:type="gramEnd"/>
      <w:r w:rsidR="00A85FD1" w:rsidRPr="00A85FD1">
        <w:t xml:space="preserve"> un trámite en particular </w:t>
      </w:r>
      <w:r w:rsidR="00A85FD1">
        <w:t>debidamente inscrito en el SUIT</w:t>
      </w:r>
      <w:r w:rsidR="006322DC">
        <w:t>.</w:t>
      </w:r>
    </w:p>
    <w:p w:rsidR="00A85FD1" w:rsidRDefault="00A85FD1" w:rsidP="00E65C09"/>
    <w:p w:rsidR="008505DD" w:rsidRDefault="008505DD" w:rsidP="00E65C09">
      <w:pPr>
        <w:rPr>
          <w:b/>
          <w:i/>
        </w:rPr>
      </w:pPr>
      <w:bookmarkStart w:id="0" w:name="_Hlk535335763"/>
      <w:r w:rsidRPr="008505DD">
        <w:rPr>
          <w:b/>
          <w:i/>
        </w:rPr>
        <w:t>Análisis de información Prosperidad Social</w:t>
      </w:r>
    </w:p>
    <w:p w:rsidR="008505DD" w:rsidRDefault="008505DD" w:rsidP="008505DD">
      <w:pPr>
        <w:pStyle w:val="Prrafodelista"/>
        <w:numPr>
          <w:ilvl w:val="0"/>
          <w:numId w:val="1"/>
        </w:numPr>
      </w:pPr>
      <w:r>
        <w:t>Participaciones:</w:t>
      </w:r>
    </w:p>
    <w:p w:rsidR="006322DC" w:rsidRDefault="006322DC" w:rsidP="006322DC">
      <w:pPr>
        <w:pStyle w:val="Prrafodelista"/>
        <w:numPr>
          <w:ilvl w:val="0"/>
          <w:numId w:val="2"/>
        </w:numPr>
      </w:pPr>
      <w:r>
        <w:t>Total de participaciones: 751</w:t>
      </w:r>
    </w:p>
    <w:p w:rsidR="006322DC" w:rsidRDefault="006322DC" w:rsidP="006322DC">
      <w:pPr>
        <w:pStyle w:val="Prrafodelista"/>
        <w:numPr>
          <w:ilvl w:val="0"/>
          <w:numId w:val="2"/>
        </w:numPr>
      </w:pPr>
      <w:r>
        <w:t xml:space="preserve">Número de ciudadanos: </w:t>
      </w:r>
      <w:r w:rsidR="000A6967">
        <w:t>408</w:t>
      </w:r>
    </w:p>
    <w:p w:rsidR="000A6967" w:rsidRDefault="000A6967" w:rsidP="006322DC">
      <w:pPr>
        <w:pStyle w:val="Prrafodelista"/>
        <w:numPr>
          <w:ilvl w:val="0"/>
          <w:numId w:val="2"/>
        </w:numPr>
      </w:pPr>
      <w:r>
        <w:t>Número de Servidores públicos: 341</w:t>
      </w:r>
    </w:p>
    <w:p w:rsidR="000A6967" w:rsidRDefault="000A6967" w:rsidP="006322DC">
      <w:pPr>
        <w:pStyle w:val="Prrafodelista"/>
        <w:numPr>
          <w:ilvl w:val="0"/>
          <w:numId w:val="2"/>
        </w:numPr>
      </w:pPr>
      <w:r>
        <w:t>Número de Empresarios: 2</w:t>
      </w:r>
    </w:p>
    <w:p w:rsidR="000A6967" w:rsidRDefault="000A6967" w:rsidP="006322DC">
      <w:pPr>
        <w:pStyle w:val="Prrafodelista"/>
        <w:numPr>
          <w:ilvl w:val="0"/>
          <w:numId w:val="2"/>
        </w:numPr>
      </w:pPr>
      <w:r>
        <w:t>Número de Gremios: 1</w:t>
      </w:r>
    </w:p>
    <w:bookmarkEnd w:id="0"/>
    <w:p w:rsidR="008505DD" w:rsidRDefault="008505DD" w:rsidP="000A6967">
      <w:pPr>
        <w:pStyle w:val="Prrafodelista"/>
      </w:pPr>
    </w:p>
    <w:p w:rsidR="000A6967" w:rsidRDefault="000A6967" w:rsidP="000A6967">
      <w:pPr>
        <w:pStyle w:val="Prrafodelista"/>
        <w:numPr>
          <w:ilvl w:val="0"/>
          <w:numId w:val="1"/>
        </w:numPr>
      </w:pPr>
      <w:r>
        <w:t>Observaciones:</w:t>
      </w:r>
    </w:p>
    <w:p w:rsidR="000A6967" w:rsidRPr="000A6967" w:rsidRDefault="000A6967" w:rsidP="001677AC">
      <w:pPr>
        <w:pStyle w:val="Prrafodelista"/>
        <w:jc w:val="both"/>
      </w:pPr>
      <w:r>
        <w:t xml:space="preserve">De las 751 participaciones </w:t>
      </w:r>
      <w:r w:rsidR="00535B14">
        <w:t>dirigidas a</w:t>
      </w:r>
      <w:r>
        <w:t xml:space="preserve"> Prosperidad Social se logró identificar la siguiente clasificación temática sobre lo que actualmente esta establecido en el trámite: “Acceso y permanencia en el Programa Familias en Acción”</w:t>
      </w:r>
    </w:p>
    <w:tbl>
      <w:tblPr>
        <w:tblW w:w="3451" w:type="pct"/>
        <w:jc w:val="center"/>
        <w:tblCellMar>
          <w:left w:w="0" w:type="dxa"/>
          <w:right w:w="0" w:type="dxa"/>
        </w:tblCellMar>
        <w:tblLook w:val="04A0" w:firstRow="1" w:lastRow="0" w:firstColumn="1" w:lastColumn="0" w:noHBand="0" w:noVBand="1"/>
      </w:tblPr>
      <w:tblGrid>
        <w:gridCol w:w="558"/>
        <w:gridCol w:w="4820"/>
        <w:gridCol w:w="708"/>
      </w:tblGrid>
      <w:tr w:rsidR="000A6967" w:rsidTr="000A6967">
        <w:trPr>
          <w:trHeight w:val="20"/>
          <w:jc w:val="center"/>
        </w:trPr>
        <w:tc>
          <w:tcPr>
            <w:tcW w:w="458" w:type="pct"/>
            <w:tcBorders>
              <w:top w:val="single" w:sz="8" w:space="0" w:color="auto"/>
              <w:left w:val="single" w:sz="8" w:space="0" w:color="auto"/>
              <w:bottom w:val="single" w:sz="8" w:space="0" w:color="auto"/>
              <w:right w:val="single" w:sz="8" w:space="0" w:color="auto"/>
            </w:tcBorders>
            <w:shd w:val="clear" w:color="auto" w:fill="F4B084"/>
            <w:hideMark/>
          </w:tcPr>
          <w:p w:rsidR="000A6967" w:rsidRPr="000A6967" w:rsidRDefault="000A6967">
            <w:pPr>
              <w:spacing w:line="252" w:lineRule="auto"/>
              <w:jc w:val="center"/>
              <w:rPr>
                <w:rFonts w:ascii="Arial" w:hAnsi="Arial" w:cs="Arial"/>
                <w:b/>
                <w:bCs/>
                <w:color w:val="000000"/>
                <w:sz w:val="18"/>
                <w:szCs w:val="18"/>
              </w:rPr>
            </w:pPr>
            <w:r w:rsidRPr="000A6967">
              <w:rPr>
                <w:rFonts w:ascii="Arial" w:hAnsi="Arial" w:cs="Arial"/>
                <w:b/>
                <w:bCs/>
                <w:color w:val="000000"/>
                <w:sz w:val="18"/>
                <w:szCs w:val="18"/>
              </w:rPr>
              <w:t xml:space="preserve">#. </w:t>
            </w:r>
          </w:p>
        </w:tc>
        <w:tc>
          <w:tcPr>
            <w:tcW w:w="3960" w:type="pct"/>
            <w:tcBorders>
              <w:top w:val="single" w:sz="8" w:space="0" w:color="auto"/>
              <w:left w:val="nil"/>
              <w:bottom w:val="single" w:sz="8" w:space="0" w:color="auto"/>
              <w:right w:val="single" w:sz="8" w:space="0" w:color="auto"/>
            </w:tcBorders>
            <w:shd w:val="clear" w:color="auto" w:fill="F4B084"/>
            <w:tcMar>
              <w:top w:w="0" w:type="dxa"/>
              <w:left w:w="70" w:type="dxa"/>
              <w:bottom w:w="0" w:type="dxa"/>
              <w:right w:w="70" w:type="dxa"/>
            </w:tcMar>
            <w:vAlign w:val="bottom"/>
            <w:hideMark/>
          </w:tcPr>
          <w:p w:rsidR="000A6967" w:rsidRPr="000A6967" w:rsidRDefault="000A6967">
            <w:pPr>
              <w:spacing w:line="252" w:lineRule="auto"/>
              <w:jc w:val="center"/>
              <w:rPr>
                <w:rFonts w:ascii="Arial" w:hAnsi="Arial" w:cs="Arial"/>
                <w:b/>
                <w:bCs/>
                <w:color w:val="000000"/>
                <w:sz w:val="18"/>
                <w:szCs w:val="18"/>
              </w:rPr>
            </w:pPr>
            <w:r w:rsidRPr="000A6967">
              <w:rPr>
                <w:rFonts w:ascii="Arial" w:hAnsi="Arial" w:cs="Arial"/>
                <w:b/>
                <w:bCs/>
                <w:color w:val="000000"/>
                <w:sz w:val="18"/>
                <w:szCs w:val="18"/>
              </w:rPr>
              <w:t>Temática</w:t>
            </w:r>
          </w:p>
        </w:tc>
        <w:tc>
          <w:tcPr>
            <w:tcW w:w="582" w:type="pct"/>
            <w:tcBorders>
              <w:top w:val="single" w:sz="8" w:space="0" w:color="auto"/>
              <w:left w:val="nil"/>
              <w:bottom w:val="single" w:sz="8" w:space="0" w:color="auto"/>
              <w:right w:val="single" w:sz="8" w:space="0" w:color="auto"/>
            </w:tcBorders>
            <w:shd w:val="clear" w:color="auto" w:fill="F4B084"/>
            <w:tcMar>
              <w:top w:w="0" w:type="dxa"/>
              <w:left w:w="70" w:type="dxa"/>
              <w:bottom w:w="0" w:type="dxa"/>
              <w:right w:w="70" w:type="dxa"/>
            </w:tcMar>
            <w:vAlign w:val="bottom"/>
            <w:hideMark/>
          </w:tcPr>
          <w:p w:rsidR="000A6967" w:rsidRPr="000A6967" w:rsidRDefault="000A6967">
            <w:pPr>
              <w:spacing w:line="252" w:lineRule="auto"/>
              <w:jc w:val="center"/>
              <w:rPr>
                <w:rFonts w:ascii="Arial" w:hAnsi="Arial" w:cs="Arial"/>
                <w:b/>
                <w:bCs/>
                <w:color w:val="000000"/>
                <w:sz w:val="18"/>
                <w:szCs w:val="18"/>
              </w:rPr>
            </w:pPr>
            <w:r w:rsidRPr="000A6967">
              <w:rPr>
                <w:rFonts w:ascii="Arial" w:hAnsi="Arial" w:cs="Arial"/>
                <w:b/>
                <w:bCs/>
                <w:color w:val="000000"/>
                <w:sz w:val="18"/>
                <w:szCs w:val="18"/>
              </w:rPr>
              <w:t xml:space="preserve">No. </w:t>
            </w:r>
          </w:p>
        </w:tc>
      </w:tr>
      <w:tr w:rsidR="000A6967" w:rsidTr="000A6967">
        <w:trPr>
          <w:trHeight w:val="20"/>
          <w:jc w:val="center"/>
        </w:trPr>
        <w:tc>
          <w:tcPr>
            <w:tcW w:w="458" w:type="pct"/>
            <w:tcBorders>
              <w:top w:val="nil"/>
              <w:left w:val="single" w:sz="8" w:space="0" w:color="auto"/>
              <w:bottom w:val="single" w:sz="8" w:space="0" w:color="auto"/>
              <w:right w:val="single" w:sz="8" w:space="0" w:color="auto"/>
            </w:tcBorders>
            <w:hideMark/>
          </w:tcPr>
          <w:p w:rsidR="000A6967" w:rsidRPr="000A6967" w:rsidRDefault="000A6967" w:rsidP="000A6967">
            <w:pPr>
              <w:spacing w:line="252" w:lineRule="auto"/>
              <w:jc w:val="center"/>
              <w:rPr>
                <w:rFonts w:ascii="Arial" w:hAnsi="Arial" w:cs="Arial"/>
                <w:color w:val="000000"/>
                <w:sz w:val="18"/>
                <w:szCs w:val="18"/>
              </w:rPr>
            </w:pPr>
            <w:r w:rsidRPr="000A6967">
              <w:rPr>
                <w:rFonts w:ascii="Arial" w:hAnsi="Arial" w:cs="Arial"/>
                <w:color w:val="000000"/>
                <w:sz w:val="18"/>
                <w:szCs w:val="18"/>
              </w:rPr>
              <w:t>1</w:t>
            </w:r>
          </w:p>
        </w:tc>
        <w:tc>
          <w:tcPr>
            <w:tcW w:w="396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0A6967" w:rsidRPr="000A6967" w:rsidRDefault="000A6967">
            <w:pPr>
              <w:spacing w:line="252" w:lineRule="auto"/>
              <w:rPr>
                <w:rFonts w:ascii="Arial" w:hAnsi="Arial" w:cs="Arial"/>
                <w:color w:val="000000"/>
                <w:sz w:val="18"/>
                <w:szCs w:val="18"/>
              </w:rPr>
            </w:pPr>
            <w:r w:rsidRPr="000A6967">
              <w:rPr>
                <w:rFonts w:ascii="Arial" w:hAnsi="Arial" w:cs="Arial"/>
                <w:color w:val="000000"/>
                <w:sz w:val="18"/>
                <w:szCs w:val="18"/>
              </w:rPr>
              <w:t>Logística para la inscripción</w:t>
            </w:r>
          </w:p>
        </w:tc>
        <w:tc>
          <w:tcPr>
            <w:tcW w:w="58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0A6967" w:rsidRPr="000A6967" w:rsidRDefault="000A6967">
            <w:pPr>
              <w:spacing w:line="252" w:lineRule="auto"/>
              <w:jc w:val="right"/>
              <w:rPr>
                <w:rFonts w:ascii="Arial" w:hAnsi="Arial" w:cs="Arial"/>
                <w:color w:val="000000"/>
                <w:sz w:val="18"/>
                <w:szCs w:val="18"/>
              </w:rPr>
            </w:pPr>
            <w:r w:rsidRPr="000A6967">
              <w:rPr>
                <w:rFonts w:ascii="Arial" w:hAnsi="Arial" w:cs="Arial"/>
                <w:color w:val="000000"/>
                <w:sz w:val="18"/>
                <w:szCs w:val="18"/>
              </w:rPr>
              <w:t>337</w:t>
            </w:r>
          </w:p>
        </w:tc>
      </w:tr>
      <w:tr w:rsidR="000A6967" w:rsidTr="000A6967">
        <w:trPr>
          <w:trHeight w:val="20"/>
          <w:jc w:val="center"/>
        </w:trPr>
        <w:tc>
          <w:tcPr>
            <w:tcW w:w="458" w:type="pct"/>
            <w:tcBorders>
              <w:top w:val="nil"/>
              <w:left w:val="single" w:sz="8" w:space="0" w:color="auto"/>
              <w:bottom w:val="single" w:sz="8" w:space="0" w:color="auto"/>
              <w:right w:val="single" w:sz="8" w:space="0" w:color="auto"/>
            </w:tcBorders>
            <w:hideMark/>
          </w:tcPr>
          <w:p w:rsidR="000A6967" w:rsidRPr="000A6967" w:rsidRDefault="000A6967" w:rsidP="000A6967">
            <w:pPr>
              <w:spacing w:line="252" w:lineRule="auto"/>
              <w:jc w:val="center"/>
              <w:rPr>
                <w:rFonts w:ascii="Arial" w:hAnsi="Arial" w:cs="Arial"/>
                <w:color w:val="000000"/>
                <w:sz w:val="18"/>
                <w:szCs w:val="18"/>
              </w:rPr>
            </w:pPr>
            <w:r w:rsidRPr="000A6967">
              <w:rPr>
                <w:rFonts w:ascii="Arial" w:hAnsi="Arial" w:cs="Arial"/>
                <w:color w:val="000000"/>
                <w:sz w:val="18"/>
                <w:szCs w:val="18"/>
              </w:rPr>
              <w:t>2</w:t>
            </w:r>
          </w:p>
        </w:tc>
        <w:tc>
          <w:tcPr>
            <w:tcW w:w="396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0A6967" w:rsidRPr="000A6967" w:rsidRDefault="000A6967">
            <w:pPr>
              <w:spacing w:line="252" w:lineRule="auto"/>
              <w:rPr>
                <w:rFonts w:ascii="Arial" w:hAnsi="Arial" w:cs="Arial"/>
                <w:color w:val="000000"/>
                <w:sz w:val="18"/>
                <w:szCs w:val="18"/>
              </w:rPr>
            </w:pPr>
            <w:r w:rsidRPr="000A6967">
              <w:rPr>
                <w:rFonts w:ascii="Arial" w:hAnsi="Arial" w:cs="Arial"/>
                <w:color w:val="000000"/>
                <w:sz w:val="18"/>
                <w:szCs w:val="18"/>
              </w:rPr>
              <w:t>No lo considera engorroso/difícil</w:t>
            </w:r>
          </w:p>
        </w:tc>
        <w:tc>
          <w:tcPr>
            <w:tcW w:w="58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0A6967" w:rsidRPr="000A6967" w:rsidRDefault="000A6967">
            <w:pPr>
              <w:spacing w:line="252" w:lineRule="auto"/>
              <w:jc w:val="right"/>
              <w:rPr>
                <w:rFonts w:ascii="Arial" w:hAnsi="Arial" w:cs="Arial"/>
                <w:color w:val="000000"/>
                <w:sz w:val="18"/>
                <w:szCs w:val="18"/>
              </w:rPr>
            </w:pPr>
            <w:r w:rsidRPr="000A6967">
              <w:rPr>
                <w:rFonts w:ascii="Arial" w:hAnsi="Arial" w:cs="Arial"/>
                <w:color w:val="000000"/>
                <w:sz w:val="18"/>
                <w:szCs w:val="18"/>
              </w:rPr>
              <w:t>140</w:t>
            </w:r>
          </w:p>
        </w:tc>
      </w:tr>
      <w:tr w:rsidR="000A6967" w:rsidTr="000A6967">
        <w:trPr>
          <w:trHeight w:val="20"/>
          <w:jc w:val="center"/>
        </w:trPr>
        <w:tc>
          <w:tcPr>
            <w:tcW w:w="458" w:type="pct"/>
            <w:tcBorders>
              <w:top w:val="nil"/>
              <w:left w:val="single" w:sz="8" w:space="0" w:color="auto"/>
              <w:bottom w:val="single" w:sz="8" w:space="0" w:color="auto"/>
              <w:right w:val="single" w:sz="8" w:space="0" w:color="auto"/>
            </w:tcBorders>
            <w:hideMark/>
          </w:tcPr>
          <w:p w:rsidR="000A6967" w:rsidRPr="000A6967" w:rsidRDefault="000A6967" w:rsidP="000A6967">
            <w:pPr>
              <w:spacing w:line="252" w:lineRule="auto"/>
              <w:jc w:val="center"/>
              <w:rPr>
                <w:rFonts w:ascii="Arial" w:hAnsi="Arial" w:cs="Arial"/>
                <w:color w:val="000000"/>
                <w:sz w:val="18"/>
                <w:szCs w:val="18"/>
              </w:rPr>
            </w:pPr>
            <w:r w:rsidRPr="000A6967">
              <w:rPr>
                <w:rFonts w:ascii="Arial" w:hAnsi="Arial" w:cs="Arial"/>
                <w:color w:val="000000"/>
                <w:sz w:val="18"/>
                <w:szCs w:val="18"/>
              </w:rPr>
              <w:t>3</w:t>
            </w:r>
          </w:p>
        </w:tc>
        <w:tc>
          <w:tcPr>
            <w:tcW w:w="396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0A6967" w:rsidRPr="000A6967" w:rsidRDefault="000A6967">
            <w:pPr>
              <w:spacing w:line="252" w:lineRule="auto"/>
              <w:rPr>
                <w:rFonts w:ascii="Arial" w:hAnsi="Arial" w:cs="Arial"/>
                <w:color w:val="000000"/>
                <w:sz w:val="18"/>
                <w:szCs w:val="18"/>
              </w:rPr>
            </w:pPr>
            <w:r w:rsidRPr="000A6967">
              <w:rPr>
                <w:rFonts w:ascii="Arial" w:hAnsi="Arial" w:cs="Arial"/>
                <w:color w:val="000000"/>
                <w:sz w:val="18"/>
                <w:szCs w:val="18"/>
              </w:rPr>
              <w:t>Focalización de beneficiarios</w:t>
            </w:r>
          </w:p>
        </w:tc>
        <w:tc>
          <w:tcPr>
            <w:tcW w:w="58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0A6967" w:rsidRPr="000A6967" w:rsidRDefault="000A6967">
            <w:pPr>
              <w:spacing w:line="252" w:lineRule="auto"/>
              <w:jc w:val="right"/>
              <w:rPr>
                <w:rFonts w:ascii="Arial" w:hAnsi="Arial" w:cs="Arial"/>
                <w:color w:val="000000"/>
                <w:sz w:val="18"/>
                <w:szCs w:val="18"/>
              </w:rPr>
            </w:pPr>
            <w:r w:rsidRPr="000A6967">
              <w:rPr>
                <w:rFonts w:ascii="Arial" w:hAnsi="Arial" w:cs="Arial"/>
                <w:color w:val="000000"/>
                <w:sz w:val="18"/>
                <w:szCs w:val="18"/>
              </w:rPr>
              <w:t>68</w:t>
            </w:r>
          </w:p>
        </w:tc>
      </w:tr>
      <w:tr w:rsidR="000A6967" w:rsidTr="000A6967">
        <w:trPr>
          <w:trHeight w:val="20"/>
          <w:jc w:val="center"/>
        </w:trPr>
        <w:tc>
          <w:tcPr>
            <w:tcW w:w="458" w:type="pct"/>
            <w:tcBorders>
              <w:top w:val="nil"/>
              <w:left w:val="single" w:sz="8" w:space="0" w:color="auto"/>
              <w:bottom w:val="single" w:sz="8" w:space="0" w:color="auto"/>
              <w:right w:val="single" w:sz="8" w:space="0" w:color="auto"/>
            </w:tcBorders>
            <w:hideMark/>
          </w:tcPr>
          <w:p w:rsidR="000A6967" w:rsidRPr="000A6967" w:rsidRDefault="000A6967" w:rsidP="000A6967">
            <w:pPr>
              <w:spacing w:line="252" w:lineRule="auto"/>
              <w:jc w:val="center"/>
              <w:rPr>
                <w:rFonts w:ascii="Arial" w:hAnsi="Arial" w:cs="Arial"/>
                <w:color w:val="000000"/>
                <w:sz w:val="18"/>
                <w:szCs w:val="18"/>
              </w:rPr>
            </w:pPr>
            <w:r w:rsidRPr="000A6967">
              <w:rPr>
                <w:rFonts w:ascii="Arial" w:hAnsi="Arial" w:cs="Arial"/>
                <w:color w:val="000000"/>
                <w:sz w:val="18"/>
                <w:szCs w:val="18"/>
              </w:rPr>
              <w:t>4</w:t>
            </w:r>
          </w:p>
        </w:tc>
        <w:tc>
          <w:tcPr>
            <w:tcW w:w="3960" w:type="pct"/>
            <w:tcBorders>
              <w:top w:val="nil"/>
              <w:left w:val="nil"/>
              <w:bottom w:val="single" w:sz="8" w:space="0" w:color="auto"/>
              <w:right w:val="single" w:sz="8" w:space="0" w:color="auto"/>
            </w:tcBorders>
            <w:tcMar>
              <w:top w:w="0" w:type="dxa"/>
              <w:left w:w="70" w:type="dxa"/>
              <w:bottom w:w="0" w:type="dxa"/>
              <w:right w:w="70" w:type="dxa"/>
            </w:tcMar>
            <w:vAlign w:val="bottom"/>
            <w:hideMark/>
          </w:tcPr>
          <w:p w:rsidR="000A6967" w:rsidRPr="000A6967" w:rsidRDefault="000A6967">
            <w:pPr>
              <w:spacing w:line="252" w:lineRule="auto"/>
              <w:rPr>
                <w:rFonts w:ascii="Arial" w:hAnsi="Arial" w:cs="Arial"/>
                <w:color w:val="000000"/>
                <w:sz w:val="18"/>
                <w:szCs w:val="18"/>
              </w:rPr>
            </w:pPr>
            <w:r w:rsidRPr="000A6967">
              <w:rPr>
                <w:rFonts w:ascii="Arial" w:hAnsi="Arial" w:cs="Arial"/>
                <w:color w:val="000000"/>
                <w:sz w:val="18"/>
                <w:szCs w:val="18"/>
              </w:rPr>
              <w:t>Cobertura para nuevo proceso de inscripción</w:t>
            </w:r>
          </w:p>
        </w:tc>
        <w:tc>
          <w:tcPr>
            <w:tcW w:w="582" w:type="pct"/>
            <w:tcBorders>
              <w:top w:val="nil"/>
              <w:left w:val="nil"/>
              <w:bottom w:val="single" w:sz="8" w:space="0" w:color="auto"/>
              <w:right w:val="single" w:sz="8" w:space="0" w:color="auto"/>
            </w:tcBorders>
            <w:tcMar>
              <w:top w:w="0" w:type="dxa"/>
              <w:left w:w="70" w:type="dxa"/>
              <w:bottom w:w="0" w:type="dxa"/>
              <w:right w:w="70" w:type="dxa"/>
            </w:tcMar>
            <w:vAlign w:val="bottom"/>
            <w:hideMark/>
          </w:tcPr>
          <w:p w:rsidR="000A6967" w:rsidRPr="000A6967" w:rsidRDefault="000A6967">
            <w:pPr>
              <w:spacing w:line="252" w:lineRule="auto"/>
              <w:jc w:val="right"/>
              <w:rPr>
                <w:rFonts w:ascii="Arial" w:hAnsi="Arial" w:cs="Arial"/>
                <w:color w:val="000000"/>
                <w:sz w:val="18"/>
                <w:szCs w:val="18"/>
              </w:rPr>
            </w:pPr>
            <w:r w:rsidRPr="000A6967">
              <w:rPr>
                <w:rFonts w:ascii="Arial" w:hAnsi="Arial" w:cs="Arial"/>
                <w:color w:val="000000"/>
                <w:sz w:val="18"/>
                <w:szCs w:val="18"/>
              </w:rPr>
              <w:t>58</w:t>
            </w:r>
          </w:p>
        </w:tc>
      </w:tr>
      <w:tr w:rsidR="000A6967" w:rsidTr="000A6967">
        <w:trPr>
          <w:trHeight w:val="20"/>
          <w:jc w:val="center"/>
        </w:trPr>
        <w:tc>
          <w:tcPr>
            <w:tcW w:w="458" w:type="pct"/>
            <w:tcBorders>
              <w:top w:val="nil"/>
              <w:left w:val="single" w:sz="8" w:space="0" w:color="auto"/>
              <w:bottom w:val="single" w:sz="8" w:space="0" w:color="auto"/>
              <w:right w:val="single" w:sz="8" w:space="0" w:color="auto"/>
            </w:tcBorders>
            <w:hideMark/>
          </w:tcPr>
          <w:p w:rsidR="000A6967" w:rsidRPr="000A6967" w:rsidRDefault="000A6967" w:rsidP="000A6967">
            <w:pPr>
              <w:spacing w:line="252" w:lineRule="auto"/>
              <w:jc w:val="center"/>
              <w:rPr>
                <w:rFonts w:ascii="Arial" w:hAnsi="Arial" w:cs="Arial"/>
                <w:color w:val="000000"/>
                <w:sz w:val="18"/>
                <w:szCs w:val="18"/>
              </w:rPr>
            </w:pPr>
            <w:r w:rsidRPr="000A6967">
              <w:rPr>
                <w:rFonts w:ascii="Arial" w:hAnsi="Arial" w:cs="Arial"/>
                <w:color w:val="000000"/>
                <w:sz w:val="18"/>
                <w:szCs w:val="18"/>
              </w:rPr>
              <w:t>5</w:t>
            </w:r>
          </w:p>
        </w:tc>
        <w:tc>
          <w:tcPr>
            <w:tcW w:w="3960" w:type="pct"/>
            <w:tcBorders>
              <w:top w:val="nil"/>
              <w:left w:val="nil"/>
              <w:bottom w:val="single" w:sz="8" w:space="0" w:color="auto"/>
              <w:right w:val="single" w:sz="8" w:space="0" w:color="auto"/>
            </w:tcBorders>
            <w:tcMar>
              <w:top w:w="0" w:type="dxa"/>
              <w:left w:w="70" w:type="dxa"/>
              <w:bottom w:w="0" w:type="dxa"/>
              <w:right w:w="70" w:type="dxa"/>
            </w:tcMar>
            <w:vAlign w:val="bottom"/>
            <w:hideMark/>
          </w:tcPr>
          <w:p w:rsidR="000A6967" w:rsidRPr="000A6967" w:rsidRDefault="000A6967">
            <w:pPr>
              <w:spacing w:line="252" w:lineRule="auto"/>
              <w:rPr>
                <w:rFonts w:ascii="Arial" w:hAnsi="Arial" w:cs="Arial"/>
                <w:color w:val="000000"/>
                <w:sz w:val="18"/>
                <w:szCs w:val="18"/>
              </w:rPr>
            </w:pPr>
            <w:r w:rsidRPr="000A6967">
              <w:rPr>
                <w:rFonts w:ascii="Arial" w:hAnsi="Arial" w:cs="Arial"/>
                <w:color w:val="000000"/>
                <w:sz w:val="18"/>
                <w:szCs w:val="18"/>
              </w:rPr>
              <w:t>Información y documentos solicitados por FA</w:t>
            </w:r>
          </w:p>
        </w:tc>
        <w:tc>
          <w:tcPr>
            <w:tcW w:w="582" w:type="pct"/>
            <w:tcBorders>
              <w:top w:val="nil"/>
              <w:left w:val="nil"/>
              <w:bottom w:val="single" w:sz="8" w:space="0" w:color="auto"/>
              <w:right w:val="single" w:sz="8" w:space="0" w:color="auto"/>
            </w:tcBorders>
            <w:tcMar>
              <w:top w:w="0" w:type="dxa"/>
              <w:left w:w="70" w:type="dxa"/>
              <w:bottom w:w="0" w:type="dxa"/>
              <w:right w:w="70" w:type="dxa"/>
            </w:tcMar>
            <w:vAlign w:val="bottom"/>
            <w:hideMark/>
          </w:tcPr>
          <w:p w:rsidR="000A6967" w:rsidRPr="000A6967" w:rsidRDefault="000A6967">
            <w:pPr>
              <w:spacing w:line="252" w:lineRule="auto"/>
              <w:jc w:val="right"/>
              <w:rPr>
                <w:rFonts w:ascii="Arial" w:hAnsi="Arial" w:cs="Arial"/>
                <w:color w:val="000000"/>
                <w:sz w:val="18"/>
                <w:szCs w:val="18"/>
              </w:rPr>
            </w:pPr>
            <w:r w:rsidRPr="000A6967">
              <w:rPr>
                <w:rFonts w:ascii="Arial" w:hAnsi="Arial" w:cs="Arial"/>
                <w:color w:val="000000"/>
                <w:sz w:val="18"/>
                <w:szCs w:val="18"/>
              </w:rPr>
              <w:t>45</w:t>
            </w:r>
          </w:p>
        </w:tc>
      </w:tr>
      <w:tr w:rsidR="000A6967" w:rsidTr="000A6967">
        <w:trPr>
          <w:trHeight w:val="20"/>
          <w:jc w:val="center"/>
        </w:trPr>
        <w:tc>
          <w:tcPr>
            <w:tcW w:w="458" w:type="pct"/>
            <w:tcBorders>
              <w:top w:val="nil"/>
              <w:left w:val="single" w:sz="8" w:space="0" w:color="auto"/>
              <w:bottom w:val="single" w:sz="8" w:space="0" w:color="auto"/>
              <w:right w:val="single" w:sz="8" w:space="0" w:color="auto"/>
            </w:tcBorders>
            <w:hideMark/>
          </w:tcPr>
          <w:p w:rsidR="000A6967" w:rsidRPr="000A6967" w:rsidRDefault="000A6967" w:rsidP="000A6967">
            <w:pPr>
              <w:spacing w:line="252" w:lineRule="auto"/>
              <w:jc w:val="center"/>
              <w:rPr>
                <w:rFonts w:ascii="Arial" w:hAnsi="Arial" w:cs="Arial"/>
                <w:color w:val="000000"/>
                <w:sz w:val="18"/>
                <w:szCs w:val="18"/>
              </w:rPr>
            </w:pPr>
            <w:r w:rsidRPr="000A6967">
              <w:rPr>
                <w:rFonts w:ascii="Arial" w:hAnsi="Arial" w:cs="Arial"/>
                <w:color w:val="000000"/>
                <w:sz w:val="18"/>
                <w:szCs w:val="18"/>
              </w:rPr>
              <w:t>6</w:t>
            </w:r>
          </w:p>
        </w:tc>
        <w:tc>
          <w:tcPr>
            <w:tcW w:w="396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0A6967" w:rsidRPr="000A6967" w:rsidRDefault="000A6967">
            <w:pPr>
              <w:spacing w:line="252" w:lineRule="auto"/>
              <w:rPr>
                <w:rFonts w:ascii="Arial" w:hAnsi="Arial" w:cs="Arial"/>
                <w:color w:val="000000"/>
                <w:sz w:val="18"/>
                <w:szCs w:val="18"/>
              </w:rPr>
            </w:pPr>
            <w:r w:rsidRPr="000A6967">
              <w:rPr>
                <w:rFonts w:ascii="Arial" w:hAnsi="Arial" w:cs="Arial"/>
                <w:color w:val="000000"/>
                <w:sz w:val="18"/>
                <w:szCs w:val="18"/>
              </w:rPr>
              <w:t>Tiempo para realizar la inscripción</w:t>
            </w:r>
          </w:p>
        </w:tc>
        <w:tc>
          <w:tcPr>
            <w:tcW w:w="58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0A6967" w:rsidRPr="000A6967" w:rsidRDefault="000A6967">
            <w:pPr>
              <w:spacing w:line="252" w:lineRule="auto"/>
              <w:jc w:val="right"/>
              <w:rPr>
                <w:rFonts w:ascii="Arial" w:hAnsi="Arial" w:cs="Arial"/>
                <w:color w:val="000000"/>
                <w:sz w:val="18"/>
                <w:szCs w:val="18"/>
              </w:rPr>
            </w:pPr>
            <w:r w:rsidRPr="000A6967">
              <w:rPr>
                <w:rFonts w:ascii="Arial" w:hAnsi="Arial" w:cs="Arial"/>
                <w:color w:val="000000"/>
                <w:sz w:val="18"/>
                <w:szCs w:val="18"/>
              </w:rPr>
              <w:t>29</w:t>
            </w:r>
          </w:p>
        </w:tc>
      </w:tr>
      <w:tr w:rsidR="000A6967" w:rsidTr="000A6967">
        <w:trPr>
          <w:trHeight w:val="20"/>
          <w:jc w:val="center"/>
        </w:trPr>
        <w:tc>
          <w:tcPr>
            <w:tcW w:w="458" w:type="pct"/>
            <w:tcBorders>
              <w:top w:val="nil"/>
              <w:left w:val="single" w:sz="8" w:space="0" w:color="auto"/>
              <w:bottom w:val="single" w:sz="8" w:space="0" w:color="auto"/>
              <w:right w:val="single" w:sz="8" w:space="0" w:color="auto"/>
            </w:tcBorders>
            <w:hideMark/>
          </w:tcPr>
          <w:p w:rsidR="000A6967" w:rsidRPr="000A6967" w:rsidRDefault="000A6967" w:rsidP="000A6967">
            <w:pPr>
              <w:spacing w:line="252" w:lineRule="auto"/>
              <w:jc w:val="center"/>
              <w:rPr>
                <w:rFonts w:ascii="Arial" w:hAnsi="Arial" w:cs="Arial"/>
                <w:color w:val="000000"/>
                <w:sz w:val="18"/>
                <w:szCs w:val="18"/>
              </w:rPr>
            </w:pPr>
            <w:r w:rsidRPr="000A6967">
              <w:rPr>
                <w:rFonts w:ascii="Arial" w:hAnsi="Arial" w:cs="Arial"/>
                <w:color w:val="000000"/>
                <w:sz w:val="18"/>
                <w:szCs w:val="18"/>
              </w:rPr>
              <w:t>7</w:t>
            </w:r>
          </w:p>
        </w:tc>
        <w:tc>
          <w:tcPr>
            <w:tcW w:w="396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0A6967" w:rsidRPr="000A6967" w:rsidRDefault="000A6967">
            <w:pPr>
              <w:spacing w:line="252" w:lineRule="auto"/>
              <w:rPr>
                <w:rFonts w:ascii="Arial" w:hAnsi="Arial" w:cs="Arial"/>
                <w:color w:val="000000"/>
                <w:sz w:val="18"/>
                <w:szCs w:val="18"/>
              </w:rPr>
            </w:pPr>
            <w:r w:rsidRPr="000A6967">
              <w:rPr>
                <w:rFonts w:ascii="Arial" w:hAnsi="Arial" w:cs="Arial"/>
                <w:color w:val="000000"/>
                <w:sz w:val="18"/>
                <w:szCs w:val="18"/>
              </w:rPr>
              <w:t>Periodicidad de la inscripción</w:t>
            </w:r>
          </w:p>
        </w:tc>
        <w:tc>
          <w:tcPr>
            <w:tcW w:w="58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0A6967" w:rsidRPr="000A6967" w:rsidRDefault="000A6967">
            <w:pPr>
              <w:spacing w:line="252" w:lineRule="auto"/>
              <w:jc w:val="right"/>
              <w:rPr>
                <w:rFonts w:ascii="Arial" w:hAnsi="Arial" w:cs="Arial"/>
                <w:color w:val="000000"/>
                <w:sz w:val="18"/>
                <w:szCs w:val="18"/>
              </w:rPr>
            </w:pPr>
            <w:r w:rsidRPr="000A6967">
              <w:rPr>
                <w:rFonts w:ascii="Arial" w:hAnsi="Arial" w:cs="Arial"/>
                <w:color w:val="000000"/>
                <w:sz w:val="18"/>
                <w:szCs w:val="18"/>
              </w:rPr>
              <w:t>23</w:t>
            </w:r>
          </w:p>
        </w:tc>
      </w:tr>
      <w:tr w:rsidR="000A6967" w:rsidTr="000A6967">
        <w:trPr>
          <w:trHeight w:val="20"/>
          <w:jc w:val="center"/>
        </w:trPr>
        <w:tc>
          <w:tcPr>
            <w:tcW w:w="458" w:type="pct"/>
            <w:tcBorders>
              <w:top w:val="nil"/>
              <w:left w:val="single" w:sz="8" w:space="0" w:color="auto"/>
              <w:bottom w:val="single" w:sz="8" w:space="0" w:color="auto"/>
              <w:right w:val="single" w:sz="8" w:space="0" w:color="auto"/>
            </w:tcBorders>
            <w:hideMark/>
          </w:tcPr>
          <w:p w:rsidR="000A6967" w:rsidRPr="000A6967" w:rsidRDefault="000A6967" w:rsidP="000A6967">
            <w:pPr>
              <w:spacing w:line="252" w:lineRule="auto"/>
              <w:jc w:val="center"/>
              <w:rPr>
                <w:rFonts w:ascii="Arial" w:hAnsi="Arial" w:cs="Arial"/>
                <w:color w:val="000000"/>
                <w:sz w:val="18"/>
                <w:szCs w:val="18"/>
              </w:rPr>
            </w:pPr>
            <w:r w:rsidRPr="000A6967">
              <w:rPr>
                <w:rFonts w:ascii="Arial" w:hAnsi="Arial" w:cs="Arial"/>
                <w:color w:val="000000"/>
                <w:sz w:val="18"/>
                <w:szCs w:val="18"/>
              </w:rPr>
              <w:t>8</w:t>
            </w:r>
          </w:p>
        </w:tc>
        <w:tc>
          <w:tcPr>
            <w:tcW w:w="3960" w:type="pct"/>
            <w:tcBorders>
              <w:top w:val="nil"/>
              <w:left w:val="nil"/>
              <w:bottom w:val="single" w:sz="8" w:space="0" w:color="auto"/>
              <w:right w:val="single" w:sz="8" w:space="0" w:color="auto"/>
            </w:tcBorders>
            <w:tcMar>
              <w:top w:w="0" w:type="dxa"/>
              <w:left w:w="70" w:type="dxa"/>
              <w:bottom w:w="0" w:type="dxa"/>
              <w:right w:w="70" w:type="dxa"/>
            </w:tcMar>
            <w:vAlign w:val="bottom"/>
            <w:hideMark/>
          </w:tcPr>
          <w:p w:rsidR="000A6967" w:rsidRPr="000A6967" w:rsidRDefault="000A6967">
            <w:pPr>
              <w:spacing w:line="252" w:lineRule="auto"/>
              <w:rPr>
                <w:rFonts w:ascii="Arial" w:hAnsi="Arial" w:cs="Arial"/>
                <w:color w:val="000000"/>
                <w:sz w:val="18"/>
                <w:szCs w:val="18"/>
              </w:rPr>
            </w:pPr>
            <w:r>
              <w:rPr>
                <w:rFonts w:ascii="Arial" w:hAnsi="Arial" w:cs="Arial"/>
                <w:color w:val="000000"/>
                <w:sz w:val="18"/>
                <w:szCs w:val="18"/>
              </w:rPr>
              <w:t>Felicitaciones al programa y seguir así</w:t>
            </w:r>
          </w:p>
        </w:tc>
        <w:tc>
          <w:tcPr>
            <w:tcW w:w="582" w:type="pct"/>
            <w:tcBorders>
              <w:top w:val="nil"/>
              <w:left w:val="nil"/>
              <w:bottom w:val="single" w:sz="8" w:space="0" w:color="auto"/>
              <w:right w:val="single" w:sz="8" w:space="0" w:color="auto"/>
            </w:tcBorders>
            <w:tcMar>
              <w:top w:w="0" w:type="dxa"/>
              <w:left w:w="70" w:type="dxa"/>
              <w:bottom w:w="0" w:type="dxa"/>
              <w:right w:w="70" w:type="dxa"/>
            </w:tcMar>
            <w:vAlign w:val="bottom"/>
            <w:hideMark/>
          </w:tcPr>
          <w:p w:rsidR="000A6967" w:rsidRPr="000A6967" w:rsidRDefault="000A6967">
            <w:pPr>
              <w:spacing w:line="252" w:lineRule="auto"/>
              <w:jc w:val="right"/>
              <w:rPr>
                <w:rFonts w:ascii="Arial" w:hAnsi="Arial" w:cs="Arial"/>
                <w:color w:val="000000"/>
                <w:sz w:val="18"/>
                <w:szCs w:val="18"/>
              </w:rPr>
            </w:pPr>
            <w:r>
              <w:rPr>
                <w:rFonts w:ascii="Arial" w:hAnsi="Arial" w:cs="Arial"/>
                <w:color w:val="000000"/>
                <w:sz w:val="18"/>
                <w:szCs w:val="18"/>
              </w:rPr>
              <w:t>18</w:t>
            </w:r>
          </w:p>
        </w:tc>
      </w:tr>
      <w:tr w:rsidR="000A6967" w:rsidTr="000A6967">
        <w:trPr>
          <w:trHeight w:val="20"/>
          <w:jc w:val="center"/>
        </w:trPr>
        <w:tc>
          <w:tcPr>
            <w:tcW w:w="458" w:type="pct"/>
            <w:tcBorders>
              <w:top w:val="nil"/>
              <w:left w:val="single" w:sz="8" w:space="0" w:color="auto"/>
              <w:bottom w:val="single" w:sz="8" w:space="0" w:color="auto"/>
              <w:right w:val="single" w:sz="8" w:space="0" w:color="auto"/>
            </w:tcBorders>
            <w:hideMark/>
          </w:tcPr>
          <w:p w:rsidR="000A6967" w:rsidRPr="000A6967" w:rsidRDefault="000A6967" w:rsidP="000A6967">
            <w:pPr>
              <w:spacing w:line="252" w:lineRule="auto"/>
              <w:jc w:val="center"/>
              <w:rPr>
                <w:rFonts w:ascii="Arial" w:hAnsi="Arial" w:cs="Arial"/>
                <w:color w:val="000000"/>
                <w:sz w:val="18"/>
                <w:szCs w:val="18"/>
              </w:rPr>
            </w:pPr>
            <w:r w:rsidRPr="000A6967">
              <w:rPr>
                <w:rFonts w:ascii="Arial" w:hAnsi="Arial" w:cs="Arial"/>
                <w:color w:val="000000"/>
                <w:sz w:val="18"/>
                <w:szCs w:val="18"/>
              </w:rPr>
              <w:t>9</w:t>
            </w:r>
          </w:p>
        </w:tc>
        <w:tc>
          <w:tcPr>
            <w:tcW w:w="3960" w:type="pct"/>
            <w:tcBorders>
              <w:top w:val="nil"/>
              <w:left w:val="nil"/>
              <w:bottom w:val="single" w:sz="8" w:space="0" w:color="auto"/>
              <w:right w:val="single" w:sz="8" w:space="0" w:color="auto"/>
            </w:tcBorders>
            <w:tcMar>
              <w:top w:w="0" w:type="dxa"/>
              <w:left w:w="70" w:type="dxa"/>
              <w:bottom w:w="0" w:type="dxa"/>
              <w:right w:w="70" w:type="dxa"/>
            </w:tcMar>
            <w:vAlign w:val="bottom"/>
            <w:hideMark/>
          </w:tcPr>
          <w:p w:rsidR="000A6967" w:rsidRPr="000A6967" w:rsidRDefault="000A6967">
            <w:pPr>
              <w:spacing w:line="252" w:lineRule="auto"/>
              <w:rPr>
                <w:rFonts w:ascii="Arial" w:hAnsi="Arial" w:cs="Arial"/>
                <w:color w:val="000000"/>
                <w:sz w:val="18"/>
                <w:szCs w:val="18"/>
              </w:rPr>
            </w:pPr>
            <w:r w:rsidRPr="000A6967">
              <w:rPr>
                <w:rFonts w:ascii="Arial" w:hAnsi="Arial" w:cs="Arial"/>
                <w:color w:val="000000"/>
                <w:sz w:val="18"/>
                <w:szCs w:val="18"/>
              </w:rPr>
              <w:t>Capacidad del sistema de información</w:t>
            </w:r>
          </w:p>
        </w:tc>
        <w:tc>
          <w:tcPr>
            <w:tcW w:w="582" w:type="pct"/>
            <w:tcBorders>
              <w:top w:val="nil"/>
              <w:left w:val="nil"/>
              <w:bottom w:val="single" w:sz="8" w:space="0" w:color="auto"/>
              <w:right w:val="single" w:sz="8" w:space="0" w:color="auto"/>
            </w:tcBorders>
            <w:tcMar>
              <w:top w:w="0" w:type="dxa"/>
              <w:left w:w="70" w:type="dxa"/>
              <w:bottom w:w="0" w:type="dxa"/>
              <w:right w:w="70" w:type="dxa"/>
            </w:tcMar>
            <w:vAlign w:val="bottom"/>
            <w:hideMark/>
          </w:tcPr>
          <w:p w:rsidR="000A6967" w:rsidRPr="000A6967" w:rsidRDefault="000A6967">
            <w:pPr>
              <w:spacing w:line="252" w:lineRule="auto"/>
              <w:jc w:val="right"/>
              <w:rPr>
                <w:rFonts w:ascii="Arial" w:hAnsi="Arial" w:cs="Arial"/>
                <w:color w:val="000000"/>
                <w:sz w:val="18"/>
                <w:szCs w:val="18"/>
              </w:rPr>
            </w:pPr>
            <w:r>
              <w:rPr>
                <w:rFonts w:ascii="Arial" w:hAnsi="Arial" w:cs="Arial"/>
                <w:color w:val="000000"/>
                <w:sz w:val="18"/>
                <w:szCs w:val="18"/>
              </w:rPr>
              <w:t>9</w:t>
            </w:r>
          </w:p>
        </w:tc>
      </w:tr>
      <w:tr w:rsidR="000A6967" w:rsidTr="000A6967">
        <w:trPr>
          <w:trHeight w:val="20"/>
          <w:jc w:val="center"/>
        </w:trPr>
        <w:tc>
          <w:tcPr>
            <w:tcW w:w="458" w:type="pct"/>
            <w:tcBorders>
              <w:top w:val="nil"/>
              <w:left w:val="single" w:sz="8" w:space="0" w:color="auto"/>
              <w:bottom w:val="single" w:sz="8" w:space="0" w:color="auto"/>
              <w:right w:val="single" w:sz="8" w:space="0" w:color="auto"/>
            </w:tcBorders>
            <w:hideMark/>
          </w:tcPr>
          <w:p w:rsidR="000A6967" w:rsidRPr="000A6967" w:rsidRDefault="000A6967" w:rsidP="000A6967">
            <w:pPr>
              <w:spacing w:line="252" w:lineRule="auto"/>
              <w:jc w:val="center"/>
              <w:rPr>
                <w:rFonts w:ascii="Arial" w:hAnsi="Arial" w:cs="Arial"/>
                <w:color w:val="000000"/>
                <w:sz w:val="18"/>
                <w:szCs w:val="18"/>
              </w:rPr>
            </w:pPr>
            <w:r w:rsidRPr="000A6967">
              <w:rPr>
                <w:rFonts w:ascii="Arial" w:hAnsi="Arial" w:cs="Arial"/>
                <w:color w:val="000000"/>
                <w:sz w:val="18"/>
                <w:szCs w:val="18"/>
              </w:rPr>
              <w:t>10</w:t>
            </w:r>
          </w:p>
        </w:tc>
        <w:tc>
          <w:tcPr>
            <w:tcW w:w="3960" w:type="pct"/>
            <w:tcBorders>
              <w:top w:val="nil"/>
              <w:left w:val="nil"/>
              <w:bottom w:val="single" w:sz="8" w:space="0" w:color="auto"/>
              <w:right w:val="single" w:sz="8" w:space="0" w:color="auto"/>
            </w:tcBorders>
            <w:tcMar>
              <w:top w:w="0" w:type="dxa"/>
              <w:left w:w="70" w:type="dxa"/>
              <w:bottom w:w="0" w:type="dxa"/>
              <w:right w:w="70" w:type="dxa"/>
            </w:tcMar>
            <w:vAlign w:val="bottom"/>
            <w:hideMark/>
          </w:tcPr>
          <w:p w:rsidR="000A6967" w:rsidRPr="000A6967" w:rsidRDefault="000A6967" w:rsidP="000A6967">
            <w:pPr>
              <w:spacing w:line="252" w:lineRule="auto"/>
              <w:rPr>
                <w:rFonts w:ascii="Arial" w:hAnsi="Arial" w:cs="Arial"/>
                <w:color w:val="000000"/>
                <w:sz w:val="18"/>
                <w:szCs w:val="18"/>
              </w:rPr>
            </w:pPr>
            <w:r w:rsidRPr="000A6967">
              <w:rPr>
                <w:rFonts w:ascii="Arial" w:hAnsi="Arial" w:cs="Arial"/>
                <w:color w:val="000000"/>
                <w:sz w:val="18"/>
                <w:szCs w:val="18"/>
              </w:rPr>
              <w:t>No conoce ni ha realizado el trámite</w:t>
            </w:r>
          </w:p>
        </w:tc>
        <w:tc>
          <w:tcPr>
            <w:tcW w:w="582" w:type="pct"/>
            <w:tcBorders>
              <w:top w:val="nil"/>
              <w:left w:val="nil"/>
              <w:bottom w:val="single" w:sz="8" w:space="0" w:color="auto"/>
              <w:right w:val="single" w:sz="8" w:space="0" w:color="auto"/>
            </w:tcBorders>
            <w:tcMar>
              <w:top w:w="0" w:type="dxa"/>
              <w:left w:w="70" w:type="dxa"/>
              <w:bottom w:w="0" w:type="dxa"/>
              <w:right w:w="70" w:type="dxa"/>
            </w:tcMar>
            <w:vAlign w:val="bottom"/>
            <w:hideMark/>
          </w:tcPr>
          <w:p w:rsidR="000A6967" w:rsidRPr="000A6967" w:rsidRDefault="000A6967" w:rsidP="000A6967">
            <w:pPr>
              <w:spacing w:line="252" w:lineRule="auto"/>
              <w:jc w:val="right"/>
              <w:rPr>
                <w:rFonts w:ascii="Arial" w:hAnsi="Arial" w:cs="Arial"/>
                <w:color w:val="000000"/>
                <w:sz w:val="18"/>
                <w:szCs w:val="18"/>
              </w:rPr>
            </w:pPr>
            <w:r w:rsidRPr="000A6967">
              <w:rPr>
                <w:rFonts w:ascii="Arial" w:hAnsi="Arial" w:cs="Arial"/>
                <w:color w:val="000000"/>
                <w:sz w:val="18"/>
                <w:szCs w:val="18"/>
              </w:rPr>
              <w:t>6</w:t>
            </w:r>
          </w:p>
        </w:tc>
      </w:tr>
      <w:tr w:rsidR="000A6967" w:rsidTr="000A6967">
        <w:trPr>
          <w:trHeight w:val="20"/>
          <w:jc w:val="center"/>
        </w:trPr>
        <w:tc>
          <w:tcPr>
            <w:tcW w:w="458" w:type="pct"/>
            <w:tcBorders>
              <w:top w:val="nil"/>
              <w:left w:val="single" w:sz="8" w:space="0" w:color="auto"/>
              <w:bottom w:val="single" w:sz="8" w:space="0" w:color="auto"/>
              <w:right w:val="single" w:sz="8" w:space="0" w:color="auto"/>
            </w:tcBorders>
            <w:hideMark/>
          </w:tcPr>
          <w:p w:rsidR="000A6967" w:rsidRPr="000A6967" w:rsidRDefault="000A6967" w:rsidP="000A6967">
            <w:pPr>
              <w:spacing w:line="252" w:lineRule="auto"/>
              <w:jc w:val="center"/>
              <w:rPr>
                <w:rFonts w:ascii="Arial" w:hAnsi="Arial" w:cs="Arial"/>
                <w:color w:val="000000"/>
                <w:sz w:val="18"/>
                <w:szCs w:val="18"/>
              </w:rPr>
            </w:pPr>
            <w:r w:rsidRPr="000A6967">
              <w:rPr>
                <w:rFonts w:ascii="Arial" w:hAnsi="Arial" w:cs="Arial"/>
                <w:color w:val="000000"/>
                <w:sz w:val="18"/>
                <w:szCs w:val="18"/>
              </w:rPr>
              <w:t>11</w:t>
            </w:r>
          </w:p>
        </w:tc>
        <w:tc>
          <w:tcPr>
            <w:tcW w:w="3960" w:type="pct"/>
            <w:tcBorders>
              <w:top w:val="nil"/>
              <w:left w:val="nil"/>
              <w:bottom w:val="single" w:sz="8" w:space="0" w:color="auto"/>
              <w:right w:val="single" w:sz="8" w:space="0" w:color="auto"/>
            </w:tcBorders>
            <w:tcMar>
              <w:top w:w="0" w:type="dxa"/>
              <w:left w:w="70" w:type="dxa"/>
              <w:bottom w:w="0" w:type="dxa"/>
              <w:right w:w="70" w:type="dxa"/>
            </w:tcMar>
            <w:vAlign w:val="bottom"/>
            <w:hideMark/>
          </w:tcPr>
          <w:p w:rsidR="000A6967" w:rsidRPr="000A6967" w:rsidRDefault="000A6967" w:rsidP="000A6967">
            <w:pPr>
              <w:spacing w:line="252" w:lineRule="auto"/>
              <w:rPr>
                <w:rFonts w:ascii="Arial" w:hAnsi="Arial" w:cs="Arial"/>
                <w:color w:val="000000"/>
                <w:sz w:val="18"/>
                <w:szCs w:val="18"/>
              </w:rPr>
            </w:pPr>
            <w:r w:rsidRPr="000A6967">
              <w:rPr>
                <w:rFonts w:ascii="Arial" w:hAnsi="Arial" w:cs="Arial"/>
                <w:color w:val="000000"/>
                <w:sz w:val="18"/>
                <w:szCs w:val="18"/>
              </w:rPr>
              <w:t>Obligatoriedad de asistencia a los encuentros pedagógicos</w:t>
            </w:r>
          </w:p>
        </w:tc>
        <w:tc>
          <w:tcPr>
            <w:tcW w:w="582" w:type="pct"/>
            <w:tcBorders>
              <w:top w:val="nil"/>
              <w:left w:val="nil"/>
              <w:bottom w:val="single" w:sz="8" w:space="0" w:color="auto"/>
              <w:right w:val="single" w:sz="8" w:space="0" w:color="auto"/>
            </w:tcBorders>
            <w:tcMar>
              <w:top w:w="0" w:type="dxa"/>
              <w:left w:w="70" w:type="dxa"/>
              <w:bottom w:w="0" w:type="dxa"/>
              <w:right w:w="70" w:type="dxa"/>
            </w:tcMar>
            <w:vAlign w:val="bottom"/>
            <w:hideMark/>
          </w:tcPr>
          <w:p w:rsidR="000A6967" w:rsidRPr="000A6967" w:rsidRDefault="000A6967" w:rsidP="000A6967">
            <w:pPr>
              <w:spacing w:line="252" w:lineRule="auto"/>
              <w:jc w:val="right"/>
              <w:rPr>
                <w:rFonts w:ascii="Arial" w:hAnsi="Arial" w:cs="Arial"/>
                <w:color w:val="000000"/>
                <w:sz w:val="18"/>
                <w:szCs w:val="18"/>
              </w:rPr>
            </w:pPr>
            <w:r w:rsidRPr="000A6967">
              <w:rPr>
                <w:rFonts w:ascii="Arial" w:hAnsi="Arial" w:cs="Arial"/>
                <w:color w:val="000000"/>
                <w:sz w:val="18"/>
                <w:szCs w:val="18"/>
              </w:rPr>
              <w:t>5</w:t>
            </w:r>
          </w:p>
        </w:tc>
      </w:tr>
      <w:tr w:rsidR="000A6967" w:rsidTr="000A6967">
        <w:trPr>
          <w:trHeight w:val="20"/>
          <w:jc w:val="center"/>
        </w:trPr>
        <w:tc>
          <w:tcPr>
            <w:tcW w:w="458" w:type="pct"/>
            <w:tcBorders>
              <w:top w:val="nil"/>
              <w:left w:val="single" w:sz="8" w:space="0" w:color="auto"/>
              <w:bottom w:val="single" w:sz="8" w:space="0" w:color="auto"/>
              <w:right w:val="single" w:sz="8" w:space="0" w:color="auto"/>
            </w:tcBorders>
            <w:hideMark/>
          </w:tcPr>
          <w:p w:rsidR="000A6967" w:rsidRPr="000A6967" w:rsidRDefault="000A6967" w:rsidP="000A6967">
            <w:pPr>
              <w:spacing w:line="252" w:lineRule="auto"/>
              <w:jc w:val="center"/>
              <w:rPr>
                <w:rFonts w:ascii="Arial" w:hAnsi="Arial" w:cs="Arial"/>
                <w:color w:val="000000"/>
                <w:sz w:val="18"/>
                <w:szCs w:val="18"/>
              </w:rPr>
            </w:pPr>
            <w:r w:rsidRPr="000A6967">
              <w:rPr>
                <w:rFonts w:ascii="Arial" w:hAnsi="Arial" w:cs="Arial"/>
                <w:color w:val="000000"/>
                <w:sz w:val="18"/>
                <w:szCs w:val="18"/>
              </w:rPr>
              <w:t>12</w:t>
            </w:r>
          </w:p>
        </w:tc>
        <w:tc>
          <w:tcPr>
            <w:tcW w:w="3960" w:type="pct"/>
            <w:tcBorders>
              <w:top w:val="nil"/>
              <w:left w:val="nil"/>
              <w:bottom w:val="single" w:sz="8" w:space="0" w:color="auto"/>
              <w:right w:val="single" w:sz="8" w:space="0" w:color="auto"/>
            </w:tcBorders>
            <w:tcMar>
              <w:top w:w="0" w:type="dxa"/>
              <w:left w:w="70" w:type="dxa"/>
              <w:bottom w:w="0" w:type="dxa"/>
              <w:right w:w="70" w:type="dxa"/>
            </w:tcMar>
            <w:vAlign w:val="bottom"/>
            <w:hideMark/>
          </w:tcPr>
          <w:p w:rsidR="000A6967" w:rsidRPr="000A6967" w:rsidRDefault="000A6967" w:rsidP="000A6967">
            <w:pPr>
              <w:spacing w:line="252" w:lineRule="auto"/>
              <w:rPr>
                <w:rFonts w:ascii="Arial" w:hAnsi="Arial" w:cs="Arial"/>
                <w:color w:val="000000"/>
                <w:sz w:val="18"/>
                <w:szCs w:val="18"/>
              </w:rPr>
            </w:pPr>
            <w:r w:rsidRPr="000A6967">
              <w:rPr>
                <w:rFonts w:ascii="Arial" w:hAnsi="Arial" w:cs="Arial"/>
                <w:color w:val="000000"/>
                <w:sz w:val="18"/>
                <w:szCs w:val="18"/>
              </w:rPr>
              <w:t>Verificación en educación</w:t>
            </w:r>
          </w:p>
        </w:tc>
        <w:tc>
          <w:tcPr>
            <w:tcW w:w="582" w:type="pct"/>
            <w:tcBorders>
              <w:top w:val="nil"/>
              <w:left w:val="nil"/>
              <w:bottom w:val="single" w:sz="8" w:space="0" w:color="auto"/>
              <w:right w:val="single" w:sz="8" w:space="0" w:color="auto"/>
            </w:tcBorders>
            <w:tcMar>
              <w:top w:w="0" w:type="dxa"/>
              <w:left w:w="70" w:type="dxa"/>
              <w:bottom w:w="0" w:type="dxa"/>
              <w:right w:w="70" w:type="dxa"/>
            </w:tcMar>
            <w:vAlign w:val="bottom"/>
            <w:hideMark/>
          </w:tcPr>
          <w:p w:rsidR="000A6967" w:rsidRPr="000A6967" w:rsidRDefault="000A6967" w:rsidP="000A6967">
            <w:pPr>
              <w:spacing w:line="252" w:lineRule="auto"/>
              <w:jc w:val="right"/>
              <w:rPr>
                <w:rFonts w:ascii="Arial" w:hAnsi="Arial" w:cs="Arial"/>
                <w:color w:val="000000"/>
                <w:sz w:val="18"/>
                <w:szCs w:val="18"/>
              </w:rPr>
            </w:pPr>
            <w:r w:rsidRPr="000A6967">
              <w:rPr>
                <w:rFonts w:ascii="Arial" w:hAnsi="Arial" w:cs="Arial"/>
                <w:color w:val="000000"/>
                <w:sz w:val="18"/>
                <w:szCs w:val="18"/>
              </w:rPr>
              <w:t>4</w:t>
            </w:r>
          </w:p>
        </w:tc>
      </w:tr>
      <w:tr w:rsidR="000A6967" w:rsidTr="000A6967">
        <w:trPr>
          <w:trHeight w:val="20"/>
          <w:jc w:val="center"/>
        </w:trPr>
        <w:tc>
          <w:tcPr>
            <w:tcW w:w="458" w:type="pct"/>
            <w:tcBorders>
              <w:top w:val="nil"/>
              <w:left w:val="single" w:sz="8" w:space="0" w:color="auto"/>
              <w:bottom w:val="single" w:sz="8" w:space="0" w:color="auto"/>
              <w:right w:val="single" w:sz="8" w:space="0" w:color="auto"/>
            </w:tcBorders>
            <w:hideMark/>
          </w:tcPr>
          <w:p w:rsidR="000A6967" w:rsidRPr="000A6967" w:rsidRDefault="000A6967" w:rsidP="000A6967">
            <w:pPr>
              <w:spacing w:line="252" w:lineRule="auto"/>
              <w:jc w:val="center"/>
              <w:rPr>
                <w:rFonts w:ascii="Arial" w:hAnsi="Arial" w:cs="Arial"/>
                <w:color w:val="000000"/>
                <w:sz w:val="18"/>
                <w:szCs w:val="18"/>
              </w:rPr>
            </w:pPr>
            <w:r w:rsidRPr="000A6967">
              <w:rPr>
                <w:rFonts w:ascii="Arial" w:hAnsi="Arial" w:cs="Arial"/>
                <w:color w:val="000000"/>
                <w:sz w:val="18"/>
                <w:szCs w:val="18"/>
              </w:rPr>
              <w:t>13</w:t>
            </w:r>
          </w:p>
        </w:tc>
        <w:tc>
          <w:tcPr>
            <w:tcW w:w="3960" w:type="pct"/>
            <w:tcBorders>
              <w:top w:val="nil"/>
              <w:left w:val="nil"/>
              <w:bottom w:val="single" w:sz="8" w:space="0" w:color="auto"/>
              <w:right w:val="single" w:sz="8" w:space="0" w:color="auto"/>
            </w:tcBorders>
            <w:tcMar>
              <w:top w:w="0" w:type="dxa"/>
              <w:left w:w="70" w:type="dxa"/>
              <w:bottom w:w="0" w:type="dxa"/>
              <w:right w:w="70" w:type="dxa"/>
            </w:tcMar>
            <w:vAlign w:val="bottom"/>
            <w:hideMark/>
          </w:tcPr>
          <w:p w:rsidR="000A6967" w:rsidRPr="000A6967" w:rsidRDefault="000A6967" w:rsidP="000A6967">
            <w:pPr>
              <w:spacing w:line="252" w:lineRule="auto"/>
              <w:rPr>
                <w:rFonts w:ascii="Arial" w:hAnsi="Arial" w:cs="Arial"/>
                <w:color w:val="000000"/>
                <w:sz w:val="18"/>
                <w:szCs w:val="18"/>
              </w:rPr>
            </w:pPr>
            <w:r w:rsidRPr="000A6967">
              <w:rPr>
                <w:rFonts w:ascii="Arial" w:hAnsi="Arial" w:cs="Arial"/>
                <w:color w:val="000000"/>
                <w:sz w:val="18"/>
                <w:szCs w:val="18"/>
              </w:rPr>
              <w:t>Verificación en salud</w:t>
            </w:r>
          </w:p>
        </w:tc>
        <w:tc>
          <w:tcPr>
            <w:tcW w:w="582" w:type="pct"/>
            <w:tcBorders>
              <w:top w:val="nil"/>
              <w:left w:val="nil"/>
              <w:bottom w:val="single" w:sz="8" w:space="0" w:color="auto"/>
              <w:right w:val="single" w:sz="8" w:space="0" w:color="auto"/>
            </w:tcBorders>
            <w:tcMar>
              <w:top w:w="0" w:type="dxa"/>
              <w:left w:w="70" w:type="dxa"/>
              <w:bottom w:w="0" w:type="dxa"/>
              <w:right w:w="70" w:type="dxa"/>
            </w:tcMar>
            <w:vAlign w:val="bottom"/>
            <w:hideMark/>
          </w:tcPr>
          <w:p w:rsidR="000A6967" w:rsidRPr="000A6967" w:rsidRDefault="000A6967" w:rsidP="000A6967">
            <w:pPr>
              <w:spacing w:line="252" w:lineRule="auto"/>
              <w:jc w:val="right"/>
              <w:rPr>
                <w:rFonts w:ascii="Arial" w:hAnsi="Arial" w:cs="Arial"/>
                <w:color w:val="000000"/>
                <w:sz w:val="18"/>
                <w:szCs w:val="18"/>
              </w:rPr>
            </w:pPr>
            <w:r w:rsidRPr="000A6967">
              <w:rPr>
                <w:rFonts w:ascii="Arial" w:hAnsi="Arial" w:cs="Arial"/>
                <w:color w:val="000000"/>
                <w:sz w:val="18"/>
                <w:szCs w:val="18"/>
              </w:rPr>
              <w:t>3</w:t>
            </w:r>
          </w:p>
        </w:tc>
      </w:tr>
      <w:tr w:rsidR="000A6967" w:rsidTr="000A6967">
        <w:trPr>
          <w:trHeight w:val="20"/>
          <w:jc w:val="center"/>
        </w:trPr>
        <w:tc>
          <w:tcPr>
            <w:tcW w:w="458" w:type="pct"/>
            <w:tcBorders>
              <w:top w:val="nil"/>
              <w:left w:val="single" w:sz="8" w:space="0" w:color="auto"/>
              <w:bottom w:val="single" w:sz="8" w:space="0" w:color="auto"/>
              <w:right w:val="single" w:sz="8" w:space="0" w:color="auto"/>
            </w:tcBorders>
            <w:hideMark/>
          </w:tcPr>
          <w:p w:rsidR="000A6967" w:rsidRPr="000A6967" w:rsidRDefault="000A6967" w:rsidP="000A6967">
            <w:pPr>
              <w:spacing w:line="252" w:lineRule="auto"/>
              <w:jc w:val="center"/>
              <w:rPr>
                <w:rFonts w:ascii="Arial" w:hAnsi="Arial" w:cs="Arial"/>
                <w:color w:val="000000"/>
                <w:sz w:val="18"/>
                <w:szCs w:val="18"/>
              </w:rPr>
            </w:pPr>
            <w:r w:rsidRPr="000A6967">
              <w:rPr>
                <w:rFonts w:ascii="Arial" w:hAnsi="Arial" w:cs="Arial"/>
                <w:color w:val="000000"/>
                <w:sz w:val="18"/>
                <w:szCs w:val="18"/>
              </w:rPr>
              <w:t>14</w:t>
            </w:r>
          </w:p>
        </w:tc>
        <w:tc>
          <w:tcPr>
            <w:tcW w:w="3960" w:type="pct"/>
            <w:tcBorders>
              <w:top w:val="nil"/>
              <w:left w:val="nil"/>
              <w:bottom w:val="single" w:sz="8" w:space="0" w:color="auto"/>
              <w:right w:val="single" w:sz="8" w:space="0" w:color="auto"/>
            </w:tcBorders>
            <w:tcMar>
              <w:top w:w="0" w:type="dxa"/>
              <w:left w:w="70" w:type="dxa"/>
              <w:bottom w:w="0" w:type="dxa"/>
              <w:right w:w="70" w:type="dxa"/>
            </w:tcMar>
            <w:vAlign w:val="bottom"/>
            <w:hideMark/>
          </w:tcPr>
          <w:p w:rsidR="000A6967" w:rsidRPr="000A6967" w:rsidRDefault="000A6967" w:rsidP="000A6967">
            <w:pPr>
              <w:spacing w:line="252" w:lineRule="auto"/>
              <w:rPr>
                <w:rFonts w:ascii="Arial" w:hAnsi="Arial" w:cs="Arial"/>
                <w:color w:val="000000"/>
                <w:sz w:val="18"/>
                <w:szCs w:val="18"/>
              </w:rPr>
            </w:pPr>
            <w:r w:rsidRPr="000A6967">
              <w:rPr>
                <w:rFonts w:ascii="Arial" w:hAnsi="Arial" w:cs="Arial"/>
                <w:color w:val="000000"/>
                <w:sz w:val="18"/>
                <w:szCs w:val="18"/>
              </w:rPr>
              <w:t xml:space="preserve">Custodias </w:t>
            </w:r>
          </w:p>
        </w:tc>
        <w:tc>
          <w:tcPr>
            <w:tcW w:w="582" w:type="pct"/>
            <w:tcBorders>
              <w:top w:val="nil"/>
              <w:left w:val="nil"/>
              <w:bottom w:val="single" w:sz="8" w:space="0" w:color="auto"/>
              <w:right w:val="single" w:sz="8" w:space="0" w:color="auto"/>
            </w:tcBorders>
            <w:tcMar>
              <w:top w:w="0" w:type="dxa"/>
              <w:left w:w="70" w:type="dxa"/>
              <w:bottom w:w="0" w:type="dxa"/>
              <w:right w:w="70" w:type="dxa"/>
            </w:tcMar>
            <w:vAlign w:val="bottom"/>
            <w:hideMark/>
          </w:tcPr>
          <w:p w:rsidR="000A6967" w:rsidRPr="000A6967" w:rsidRDefault="000A6967" w:rsidP="000A6967">
            <w:pPr>
              <w:spacing w:line="252" w:lineRule="auto"/>
              <w:jc w:val="right"/>
              <w:rPr>
                <w:rFonts w:ascii="Arial" w:hAnsi="Arial" w:cs="Arial"/>
                <w:color w:val="000000"/>
                <w:sz w:val="18"/>
                <w:szCs w:val="18"/>
              </w:rPr>
            </w:pPr>
            <w:r w:rsidRPr="000A6967">
              <w:rPr>
                <w:rFonts w:ascii="Arial" w:hAnsi="Arial" w:cs="Arial"/>
                <w:color w:val="000000"/>
                <w:sz w:val="18"/>
                <w:szCs w:val="18"/>
              </w:rPr>
              <w:t>2</w:t>
            </w:r>
          </w:p>
        </w:tc>
      </w:tr>
      <w:tr w:rsidR="000A6967" w:rsidTr="000A6967">
        <w:trPr>
          <w:trHeight w:val="20"/>
          <w:jc w:val="center"/>
        </w:trPr>
        <w:tc>
          <w:tcPr>
            <w:tcW w:w="458" w:type="pct"/>
            <w:tcBorders>
              <w:top w:val="nil"/>
              <w:left w:val="single" w:sz="8" w:space="0" w:color="auto"/>
              <w:bottom w:val="single" w:sz="8" w:space="0" w:color="auto"/>
              <w:right w:val="single" w:sz="8" w:space="0" w:color="auto"/>
            </w:tcBorders>
            <w:hideMark/>
          </w:tcPr>
          <w:p w:rsidR="000A6967" w:rsidRPr="000A6967" w:rsidRDefault="000A6967" w:rsidP="000A6967">
            <w:pPr>
              <w:spacing w:line="252" w:lineRule="auto"/>
              <w:jc w:val="center"/>
              <w:rPr>
                <w:rFonts w:ascii="Arial" w:hAnsi="Arial" w:cs="Arial"/>
                <w:color w:val="000000"/>
                <w:sz w:val="18"/>
                <w:szCs w:val="18"/>
              </w:rPr>
            </w:pPr>
            <w:r w:rsidRPr="000A6967">
              <w:rPr>
                <w:rFonts w:ascii="Arial" w:hAnsi="Arial" w:cs="Arial"/>
                <w:color w:val="000000"/>
                <w:sz w:val="18"/>
                <w:szCs w:val="18"/>
              </w:rPr>
              <w:lastRenderedPageBreak/>
              <w:t>15</w:t>
            </w:r>
          </w:p>
        </w:tc>
        <w:tc>
          <w:tcPr>
            <w:tcW w:w="3960" w:type="pct"/>
            <w:tcBorders>
              <w:top w:val="nil"/>
              <w:left w:val="nil"/>
              <w:bottom w:val="single" w:sz="8" w:space="0" w:color="auto"/>
              <w:right w:val="single" w:sz="8" w:space="0" w:color="auto"/>
            </w:tcBorders>
            <w:tcMar>
              <w:top w:w="0" w:type="dxa"/>
              <w:left w:w="70" w:type="dxa"/>
              <w:bottom w:w="0" w:type="dxa"/>
              <w:right w:w="70" w:type="dxa"/>
            </w:tcMar>
            <w:vAlign w:val="bottom"/>
            <w:hideMark/>
          </w:tcPr>
          <w:p w:rsidR="000A6967" w:rsidRPr="000A6967" w:rsidRDefault="000A6967" w:rsidP="000A6967">
            <w:pPr>
              <w:spacing w:line="252" w:lineRule="auto"/>
              <w:rPr>
                <w:rFonts w:ascii="Arial" w:hAnsi="Arial" w:cs="Arial"/>
                <w:color w:val="000000"/>
                <w:sz w:val="18"/>
                <w:szCs w:val="18"/>
              </w:rPr>
            </w:pPr>
            <w:r w:rsidRPr="000A6967">
              <w:rPr>
                <w:rFonts w:ascii="Arial" w:hAnsi="Arial" w:cs="Arial"/>
                <w:color w:val="000000"/>
                <w:sz w:val="18"/>
                <w:szCs w:val="18"/>
              </w:rPr>
              <w:t xml:space="preserve">Traslado de municipio </w:t>
            </w:r>
          </w:p>
        </w:tc>
        <w:tc>
          <w:tcPr>
            <w:tcW w:w="582" w:type="pct"/>
            <w:tcBorders>
              <w:top w:val="nil"/>
              <w:left w:val="nil"/>
              <w:bottom w:val="single" w:sz="8" w:space="0" w:color="auto"/>
              <w:right w:val="single" w:sz="8" w:space="0" w:color="auto"/>
            </w:tcBorders>
            <w:tcMar>
              <w:top w:w="0" w:type="dxa"/>
              <w:left w:w="70" w:type="dxa"/>
              <w:bottom w:w="0" w:type="dxa"/>
              <w:right w:w="70" w:type="dxa"/>
            </w:tcMar>
            <w:vAlign w:val="bottom"/>
            <w:hideMark/>
          </w:tcPr>
          <w:p w:rsidR="000A6967" w:rsidRPr="000A6967" w:rsidRDefault="000A6967" w:rsidP="000A6967">
            <w:pPr>
              <w:spacing w:line="252" w:lineRule="auto"/>
              <w:jc w:val="right"/>
              <w:rPr>
                <w:rFonts w:ascii="Arial" w:hAnsi="Arial" w:cs="Arial"/>
                <w:color w:val="000000"/>
                <w:sz w:val="18"/>
                <w:szCs w:val="18"/>
              </w:rPr>
            </w:pPr>
            <w:r w:rsidRPr="000A6967">
              <w:rPr>
                <w:rFonts w:ascii="Arial" w:hAnsi="Arial" w:cs="Arial"/>
                <w:color w:val="000000"/>
                <w:sz w:val="18"/>
                <w:szCs w:val="18"/>
              </w:rPr>
              <w:t>1</w:t>
            </w:r>
          </w:p>
        </w:tc>
      </w:tr>
      <w:tr w:rsidR="000A6967" w:rsidTr="000A6967">
        <w:trPr>
          <w:trHeight w:val="20"/>
          <w:jc w:val="center"/>
        </w:trPr>
        <w:tc>
          <w:tcPr>
            <w:tcW w:w="458" w:type="pct"/>
            <w:tcBorders>
              <w:top w:val="nil"/>
              <w:left w:val="single" w:sz="8" w:space="0" w:color="auto"/>
              <w:bottom w:val="single" w:sz="8" w:space="0" w:color="auto"/>
              <w:right w:val="single" w:sz="8" w:space="0" w:color="auto"/>
            </w:tcBorders>
            <w:hideMark/>
          </w:tcPr>
          <w:p w:rsidR="000A6967" w:rsidRPr="000A6967" w:rsidRDefault="000A6967" w:rsidP="000A6967">
            <w:pPr>
              <w:spacing w:line="252" w:lineRule="auto"/>
              <w:jc w:val="center"/>
              <w:rPr>
                <w:rFonts w:ascii="Arial" w:hAnsi="Arial" w:cs="Arial"/>
                <w:color w:val="000000"/>
                <w:sz w:val="18"/>
                <w:szCs w:val="18"/>
              </w:rPr>
            </w:pPr>
            <w:r w:rsidRPr="000A6967">
              <w:rPr>
                <w:rFonts w:ascii="Arial" w:hAnsi="Arial" w:cs="Arial"/>
                <w:color w:val="000000"/>
                <w:sz w:val="18"/>
                <w:szCs w:val="18"/>
              </w:rPr>
              <w:t>16</w:t>
            </w:r>
          </w:p>
        </w:tc>
        <w:tc>
          <w:tcPr>
            <w:tcW w:w="3960" w:type="pct"/>
            <w:tcBorders>
              <w:top w:val="nil"/>
              <w:left w:val="nil"/>
              <w:bottom w:val="single" w:sz="8" w:space="0" w:color="auto"/>
              <w:right w:val="single" w:sz="8" w:space="0" w:color="auto"/>
            </w:tcBorders>
            <w:tcMar>
              <w:top w:w="0" w:type="dxa"/>
              <w:left w:w="70" w:type="dxa"/>
              <w:bottom w:w="0" w:type="dxa"/>
              <w:right w:w="70" w:type="dxa"/>
            </w:tcMar>
            <w:vAlign w:val="bottom"/>
            <w:hideMark/>
          </w:tcPr>
          <w:p w:rsidR="000A6967" w:rsidRPr="000A6967" w:rsidRDefault="000A6967" w:rsidP="000A6967">
            <w:pPr>
              <w:spacing w:line="252" w:lineRule="auto"/>
              <w:rPr>
                <w:rFonts w:ascii="Arial" w:hAnsi="Arial" w:cs="Arial"/>
                <w:color w:val="000000"/>
                <w:sz w:val="18"/>
                <w:szCs w:val="18"/>
              </w:rPr>
            </w:pPr>
            <w:r w:rsidRPr="000A6967">
              <w:rPr>
                <w:rFonts w:ascii="Arial" w:hAnsi="Arial" w:cs="Arial"/>
                <w:color w:val="000000"/>
                <w:sz w:val="18"/>
                <w:szCs w:val="18"/>
              </w:rPr>
              <w:t>Inscripción de NNA en condición de discapacidad</w:t>
            </w:r>
          </w:p>
        </w:tc>
        <w:tc>
          <w:tcPr>
            <w:tcW w:w="582" w:type="pct"/>
            <w:tcBorders>
              <w:top w:val="nil"/>
              <w:left w:val="nil"/>
              <w:bottom w:val="single" w:sz="8" w:space="0" w:color="auto"/>
              <w:right w:val="single" w:sz="8" w:space="0" w:color="auto"/>
            </w:tcBorders>
            <w:tcMar>
              <w:top w:w="0" w:type="dxa"/>
              <w:left w:w="70" w:type="dxa"/>
              <w:bottom w:w="0" w:type="dxa"/>
              <w:right w:w="70" w:type="dxa"/>
            </w:tcMar>
            <w:vAlign w:val="bottom"/>
            <w:hideMark/>
          </w:tcPr>
          <w:p w:rsidR="000A6967" w:rsidRPr="000A6967" w:rsidRDefault="000A6967" w:rsidP="000A6967">
            <w:pPr>
              <w:spacing w:line="252" w:lineRule="auto"/>
              <w:jc w:val="right"/>
              <w:rPr>
                <w:rFonts w:ascii="Arial" w:hAnsi="Arial" w:cs="Arial"/>
                <w:color w:val="000000"/>
                <w:sz w:val="18"/>
                <w:szCs w:val="18"/>
              </w:rPr>
            </w:pPr>
            <w:r w:rsidRPr="000A6967">
              <w:rPr>
                <w:rFonts w:ascii="Arial" w:hAnsi="Arial" w:cs="Arial"/>
                <w:color w:val="000000"/>
                <w:sz w:val="18"/>
                <w:szCs w:val="18"/>
              </w:rPr>
              <w:t>1</w:t>
            </w:r>
          </w:p>
        </w:tc>
      </w:tr>
      <w:tr w:rsidR="000A6967" w:rsidTr="000A6967">
        <w:trPr>
          <w:trHeight w:val="20"/>
          <w:jc w:val="center"/>
        </w:trPr>
        <w:tc>
          <w:tcPr>
            <w:tcW w:w="458" w:type="pct"/>
            <w:tcBorders>
              <w:top w:val="nil"/>
              <w:left w:val="single" w:sz="8" w:space="0" w:color="auto"/>
              <w:bottom w:val="single" w:sz="8" w:space="0" w:color="auto"/>
              <w:right w:val="single" w:sz="8" w:space="0" w:color="auto"/>
            </w:tcBorders>
            <w:hideMark/>
          </w:tcPr>
          <w:p w:rsidR="000A6967" w:rsidRPr="000A6967" w:rsidRDefault="000A6967" w:rsidP="000A6967">
            <w:pPr>
              <w:spacing w:line="252" w:lineRule="auto"/>
              <w:jc w:val="center"/>
              <w:rPr>
                <w:rFonts w:ascii="Arial" w:hAnsi="Arial" w:cs="Arial"/>
                <w:color w:val="000000"/>
                <w:sz w:val="18"/>
                <w:szCs w:val="18"/>
              </w:rPr>
            </w:pPr>
            <w:r w:rsidRPr="000A6967">
              <w:rPr>
                <w:rFonts w:ascii="Arial" w:hAnsi="Arial" w:cs="Arial"/>
                <w:color w:val="000000"/>
                <w:sz w:val="18"/>
                <w:szCs w:val="18"/>
              </w:rPr>
              <w:t>17</w:t>
            </w:r>
          </w:p>
        </w:tc>
        <w:tc>
          <w:tcPr>
            <w:tcW w:w="3960" w:type="pct"/>
            <w:tcBorders>
              <w:top w:val="nil"/>
              <w:left w:val="nil"/>
              <w:bottom w:val="single" w:sz="8" w:space="0" w:color="auto"/>
              <w:right w:val="single" w:sz="8" w:space="0" w:color="auto"/>
            </w:tcBorders>
            <w:tcMar>
              <w:top w:w="0" w:type="dxa"/>
              <w:left w:w="70" w:type="dxa"/>
              <w:bottom w:w="0" w:type="dxa"/>
              <w:right w:w="70" w:type="dxa"/>
            </w:tcMar>
            <w:vAlign w:val="bottom"/>
            <w:hideMark/>
          </w:tcPr>
          <w:p w:rsidR="000A6967" w:rsidRPr="000A6967" w:rsidRDefault="000A6967" w:rsidP="000A6967">
            <w:pPr>
              <w:spacing w:line="252" w:lineRule="auto"/>
              <w:rPr>
                <w:rFonts w:ascii="Arial" w:hAnsi="Arial" w:cs="Arial"/>
                <w:color w:val="000000"/>
                <w:sz w:val="18"/>
                <w:szCs w:val="18"/>
              </w:rPr>
            </w:pPr>
            <w:r w:rsidRPr="000A6967">
              <w:rPr>
                <w:rFonts w:ascii="Arial" w:hAnsi="Arial" w:cs="Arial"/>
                <w:color w:val="000000"/>
                <w:sz w:val="18"/>
                <w:szCs w:val="18"/>
              </w:rPr>
              <w:t xml:space="preserve">Ingreso de NNA de nueva titular </w:t>
            </w:r>
          </w:p>
        </w:tc>
        <w:tc>
          <w:tcPr>
            <w:tcW w:w="582" w:type="pct"/>
            <w:tcBorders>
              <w:top w:val="nil"/>
              <w:left w:val="nil"/>
              <w:bottom w:val="single" w:sz="8" w:space="0" w:color="auto"/>
              <w:right w:val="single" w:sz="8" w:space="0" w:color="auto"/>
            </w:tcBorders>
            <w:tcMar>
              <w:top w:w="0" w:type="dxa"/>
              <w:left w:w="70" w:type="dxa"/>
              <w:bottom w:w="0" w:type="dxa"/>
              <w:right w:w="70" w:type="dxa"/>
            </w:tcMar>
            <w:vAlign w:val="bottom"/>
            <w:hideMark/>
          </w:tcPr>
          <w:p w:rsidR="000A6967" w:rsidRPr="000A6967" w:rsidRDefault="000A6967" w:rsidP="000A6967">
            <w:pPr>
              <w:spacing w:line="252" w:lineRule="auto"/>
              <w:jc w:val="right"/>
              <w:rPr>
                <w:rFonts w:ascii="Arial" w:hAnsi="Arial" w:cs="Arial"/>
                <w:color w:val="000000"/>
                <w:sz w:val="18"/>
                <w:szCs w:val="18"/>
              </w:rPr>
            </w:pPr>
            <w:r w:rsidRPr="000A6967">
              <w:rPr>
                <w:rFonts w:ascii="Arial" w:hAnsi="Arial" w:cs="Arial"/>
                <w:color w:val="000000"/>
                <w:sz w:val="18"/>
                <w:szCs w:val="18"/>
              </w:rPr>
              <w:t>1</w:t>
            </w:r>
          </w:p>
        </w:tc>
      </w:tr>
      <w:tr w:rsidR="000A6967" w:rsidTr="000A6967">
        <w:trPr>
          <w:trHeight w:val="20"/>
          <w:jc w:val="center"/>
        </w:trPr>
        <w:tc>
          <w:tcPr>
            <w:tcW w:w="458" w:type="pct"/>
            <w:tcBorders>
              <w:top w:val="nil"/>
              <w:left w:val="single" w:sz="8" w:space="0" w:color="auto"/>
              <w:bottom w:val="single" w:sz="8" w:space="0" w:color="auto"/>
              <w:right w:val="single" w:sz="8" w:space="0" w:color="auto"/>
            </w:tcBorders>
          </w:tcPr>
          <w:p w:rsidR="000A6967" w:rsidRPr="000A6967" w:rsidRDefault="000A6967" w:rsidP="000A6967">
            <w:pPr>
              <w:spacing w:line="252" w:lineRule="auto"/>
              <w:jc w:val="center"/>
              <w:rPr>
                <w:rFonts w:ascii="Arial" w:hAnsi="Arial" w:cs="Arial"/>
                <w:color w:val="000000"/>
                <w:sz w:val="18"/>
                <w:szCs w:val="18"/>
              </w:rPr>
            </w:pPr>
            <w:r w:rsidRPr="000A6967">
              <w:rPr>
                <w:rFonts w:ascii="Arial" w:hAnsi="Arial" w:cs="Arial"/>
                <w:color w:val="000000"/>
                <w:sz w:val="18"/>
                <w:szCs w:val="18"/>
              </w:rPr>
              <w:t>18</w:t>
            </w:r>
          </w:p>
        </w:tc>
        <w:tc>
          <w:tcPr>
            <w:tcW w:w="3960" w:type="pct"/>
            <w:tcBorders>
              <w:top w:val="nil"/>
              <w:left w:val="nil"/>
              <w:bottom w:val="single" w:sz="8" w:space="0" w:color="auto"/>
              <w:right w:val="single" w:sz="8" w:space="0" w:color="auto"/>
            </w:tcBorders>
            <w:tcMar>
              <w:top w:w="0" w:type="dxa"/>
              <w:left w:w="70" w:type="dxa"/>
              <w:bottom w:w="0" w:type="dxa"/>
              <w:right w:w="70" w:type="dxa"/>
            </w:tcMar>
            <w:vAlign w:val="bottom"/>
          </w:tcPr>
          <w:p w:rsidR="000A6967" w:rsidRPr="000A6967" w:rsidRDefault="000A6967" w:rsidP="000A6967">
            <w:pPr>
              <w:spacing w:line="252" w:lineRule="auto"/>
              <w:rPr>
                <w:rFonts w:ascii="Arial" w:hAnsi="Arial" w:cs="Arial"/>
                <w:color w:val="000000"/>
                <w:sz w:val="18"/>
                <w:szCs w:val="18"/>
              </w:rPr>
            </w:pPr>
            <w:r w:rsidRPr="000A6967">
              <w:rPr>
                <w:rFonts w:ascii="Arial" w:hAnsi="Arial" w:cs="Arial"/>
                <w:color w:val="000000"/>
                <w:sz w:val="18"/>
                <w:szCs w:val="18"/>
              </w:rPr>
              <w:t>Jóvenes en acción</w:t>
            </w:r>
          </w:p>
        </w:tc>
        <w:tc>
          <w:tcPr>
            <w:tcW w:w="582" w:type="pct"/>
            <w:tcBorders>
              <w:top w:val="nil"/>
              <w:left w:val="nil"/>
              <w:bottom w:val="single" w:sz="8" w:space="0" w:color="auto"/>
              <w:right w:val="single" w:sz="8" w:space="0" w:color="auto"/>
            </w:tcBorders>
            <w:tcMar>
              <w:top w:w="0" w:type="dxa"/>
              <w:left w:w="70" w:type="dxa"/>
              <w:bottom w:w="0" w:type="dxa"/>
              <w:right w:w="70" w:type="dxa"/>
            </w:tcMar>
            <w:vAlign w:val="bottom"/>
          </w:tcPr>
          <w:p w:rsidR="000A6967" w:rsidRPr="000A6967" w:rsidRDefault="000A6967" w:rsidP="000A6967">
            <w:pPr>
              <w:spacing w:line="252" w:lineRule="auto"/>
              <w:jc w:val="right"/>
              <w:rPr>
                <w:rFonts w:ascii="Arial" w:hAnsi="Arial" w:cs="Arial"/>
                <w:color w:val="000000"/>
                <w:sz w:val="18"/>
                <w:szCs w:val="18"/>
              </w:rPr>
            </w:pPr>
            <w:r w:rsidRPr="000A6967">
              <w:rPr>
                <w:rFonts w:ascii="Arial" w:hAnsi="Arial" w:cs="Arial"/>
                <w:color w:val="000000"/>
                <w:sz w:val="18"/>
                <w:szCs w:val="18"/>
              </w:rPr>
              <w:t>1</w:t>
            </w:r>
          </w:p>
        </w:tc>
      </w:tr>
      <w:tr w:rsidR="000A6967" w:rsidTr="000A6967">
        <w:trPr>
          <w:trHeight w:val="20"/>
          <w:jc w:val="center"/>
        </w:trPr>
        <w:tc>
          <w:tcPr>
            <w:tcW w:w="458" w:type="pct"/>
            <w:tcBorders>
              <w:top w:val="nil"/>
              <w:left w:val="single" w:sz="8" w:space="0" w:color="auto"/>
              <w:bottom w:val="single" w:sz="8" w:space="0" w:color="auto"/>
              <w:right w:val="single" w:sz="8" w:space="0" w:color="auto"/>
            </w:tcBorders>
            <w:shd w:val="clear" w:color="auto" w:fill="F4B084"/>
          </w:tcPr>
          <w:p w:rsidR="000A6967" w:rsidRPr="000A6967" w:rsidRDefault="000A6967">
            <w:pPr>
              <w:spacing w:line="252" w:lineRule="auto"/>
              <w:rPr>
                <w:rFonts w:ascii="Arial" w:hAnsi="Arial" w:cs="Arial"/>
                <w:b/>
                <w:bCs/>
                <w:color w:val="000000"/>
                <w:sz w:val="18"/>
                <w:szCs w:val="18"/>
              </w:rPr>
            </w:pPr>
          </w:p>
        </w:tc>
        <w:tc>
          <w:tcPr>
            <w:tcW w:w="3960" w:type="pct"/>
            <w:tcBorders>
              <w:top w:val="nil"/>
              <w:left w:val="nil"/>
              <w:bottom w:val="single" w:sz="8" w:space="0" w:color="auto"/>
              <w:right w:val="single" w:sz="8" w:space="0" w:color="auto"/>
            </w:tcBorders>
            <w:shd w:val="clear" w:color="auto" w:fill="F4B084"/>
            <w:tcMar>
              <w:top w:w="0" w:type="dxa"/>
              <w:left w:w="70" w:type="dxa"/>
              <w:bottom w:w="0" w:type="dxa"/>
              <w:right w:w="70" w:type="dxa"/>
            </w:tcMar>
            <w:vAlign w:val="bottom"/>
            <w:hideMark/>
          </w:tcPr>
          <w:p w:rsidR="000A6967" w:rsidRPr="000A6967" w:rsidRDefault="000A6967">
            <w:pPr>
              <w:spacing w:line="252" w:lineRule="auto"/>
              <w:rPr>
                <w:rFonts w:ascii="Arial" w:hAnsi="Arial" w:cs="Arial"/>
                <w:b/>
                <w:bCs/>
                <w:color w:val="000000"/>
                <w:sz w:val="18"/>
                <w:szCs w:val="18"/>
              </w:rPr>
            </w:pPr>
            <w:r w:rsidRPr="000A6967">
              <w:rPr>
                <w:rFonts w:ascii="Arial" w:hAnsi="Arial" w:cs="Arial"/>
                <w:b/>
                <w:bCs/>
                <w:color w:val="000000"/>
                <w:sz w:val="18"/>
                <w:szCs w:val="18"/>
              </w:rPr>
              <w:t>Total general</w:t>
            </w:r>
          </w:p>
        </w:tc>
        <w:tc>
          <w:tcPr>
            <w:tcW w:w="582" w:type="pct"/>
            <w:tcBorders>
              <w:top w:val="nil"/>
              <w:left w:val="nil"/>
              <w:bottom w:val="single" w:sz="8" w:space="0" w:color="auto"/>
              <w:right w:val="single" w:sz="8" w:space="0" w:color="auto"/>
            </w:tcBorders>
            <w:shd w:val="clear" w:color="auto" w:fill="F4B084"/>
            <w:tcMar>
              <w:top w:w="0" w:type="dxa"/>
              <w:left w:w="70" w:type="dxa"/>
              <w:bottom w:w="0" w:type="dxa"/>
              <w:right w:w="70" w:type="dxa"/>
            </w:tcMar>
            <w:vAlign w:val="bottom"/>
            <w:hideMark/>
          </w:tcPr>
          <w:p w:rsidR="000A6967" w:rsidRPr="000A6967" w:rsidRDefault="000A6967">
            <w:pPr>
              <w:spacing w:line="252" w:lineRule="auto"/>
              <w:jc w:val="right"/>
              <w:rPr>
                <w:rFonts w:ascii="Arial" w:hAnsi="Arial" w:cs="Arial"/>
                <w:b/>
                <w:bCs/>
                <w:color w:val="000000"/>
                <w:sz w:val="18"/>
                <w:szCs w:val="18"/>
              </w:rPr>
            </w:pPr>
            <w:r w:rsidRPr="000A6967">
              <w:rPr>
                <w:rFonts w:ascii="Arial" w:hAnsi="Arial" w:cs="Arial"/>
                <w:b/>
                <w:bCs/>
                <w:color w:val="000000"/>
                <w:sz w:val="18"/>
                <w:szCs w:val="18"/>
              </w:rPr>
              <w:t>7</w:t>
            </w:r>
            <w:r>
              <w:rPr>
                <w:rFonts w:ascii="Arial" w:hAnsi="Arial" w:cs="Arial"/>
                <w:b/>
                <w:bCs/>
                <w:color w:val="000000"/>
                <w:sz w:val="18"/>
                <w:szCs w:val="18"/>
              </w:rPr>
              <w:t>51</w:t>
            </w:r>
          </w:p>
        </w:tc>
      </w:tr>
    </w:tbl>
    <w:p w:rsidR="000A6967" w:rsidRDefault="000A6967" w:rsidP="000A6967">
      <w:pPr>
        <w:rPr>
          <w:rFonts w:ascii="Tahoma" w:hAnsi="Tahoma" w:cs="Tahoma"/>
          <w:color w:val="1F3864"/>
          <w:sz w:val="20"/>
          <w:szCs w:val="20"/>
        </w:rPr>
      </w:pPr>
    </w:p>
    <w:p w:rsidR="000A6967" w:rsidRDefault="009E6576" w:rsidP="009E6576">
      <w:pPr>
        <w:pStyle w:val="Prrafodelista"/>
        <w:numPr>
          <w:ilvl w:val="0"/>
          <w:numId w:val="1"/>
        </w:numPr>
        <w:rPr>
          <w:rFonts w:ascii="Calibri" w:hAnsi="Calibri" w:cs="Calibri"/>
        </w:rPr>
      </w:pPr>
      <w:r>
        <w:rPr>
          <w:rFonts w:ascii="Calibri" w:hAnsi="Calibri" w:cs="Calibri"/>
        </w:rPr>
        <w:t>Análisis realizado</w:t>
      </w:r>
    </w:p>
    <w:p w:rsidR="009E6576" w:rsidRDefault="009E6576" w:rsidP="009E6576">
      <w:pPr>
        <w:pStyle w:val="Prrafodelista"/>
        <w:rPr>
          <w:rFonts w:ascii="Calibri" w:hAnsi="Calibri" w:cs="Calibri"/>
        </w:rPr>
      </w:pPr>
    </w:p>
    <w:p w:rsidR="00D606A9" w:rsidRPr="00D606A9" w:rsidRDefault="009E6576" w:rsidP="00D606A9">
      <w:pPr>
        <w:pStyle w:val="Prrafodelista"/>
        <w:rPr>
          <w:rFonts w:ascii="Calibri" w:hAnsi="Calibri" w:cs="Calibri"/>
        </w:rPr>
      </w:pPr>
      <w:r>
        <w:rPr>
          <w:rFonts w:ascii="Calibri" w:hAnsi="Calibri" w:cs="Calibri"/>
        </w:rPr>
        <w:t>Una vez analizada la información y previendo los recursos de los</w:t>
      </w:r>
      <w:r w:rsidR="00D606A9">
        <w:rPr>
          <w:rFonts w:ascii="Calibri" w:hAnsi="Calibri" w:cs="Calibri"/>
        </w:rPr>
        <w:t xml:space="preserve"> </w:t>
      </w:r>
      <w:r w:rsidR="00D606A9" w:rsidRPr="00D606A9">
        <w:rPr>
          <w:rFonts w:ascii="Calibri" w:hAnsi="Calibri" w:cs="Calibri"/>
        </w:rPr>
        <w:t>que se dispone para la vigencia 2019</w:t>
      </w:r>
      <w:r w:rsidR="00D606A9">
        <w:rPr>
          <w:rFonts w:ascii="Calibri" w:hAnsi="Calibri" w:cs="Calibri"/>
        </w:rPr>
        <w:t>, es factible adelantar las siguientes acciones de racionalización para el trámite en mención:</w:t>
      </w:r>
    </w:p>
    <w:tbl>
      <w:tblPr>
        <w:tblW w:w="9640" w:type="dxa"/>
        <w:tblInd w:w="-147" w:type="dxa"/>
        <w:tblLayout w:type="fixed"/>
        <w:tblCellMar>
          <w:left w:w="70" w:type="dxa"/>
          <w:right w:w="70" w:type="dxa"/>
        </w:tblCellMar>
        <w:tblLook w:val="04A0" w:firstRow="1" w:lastRow="0" w:firstColumn="1" w:lastColumn="0" w:noHBand="0" w:noVBand="1"/>
      </w:tblPr>
      <w:tblGrid>
        <w:gridCol w:w="2206"/>
        <w:gridCol w:w="1622"/>
        <w:gridCol w:w="1984"/>
        <w:gridCol w:w="3828"/>
      </w:tblGrid>
      <w:tr w:rsidR="00D606A9" w:rsidRPr="00D606A9" w:rsidTr="007560A6">
        <w:trPr>
          <w:trHeight w:val="450"/>
        </w:trPr>
        <w:tc>
          <w:tcPr>
            <w:tcW w:w="2206" w:type="dxa"/>
            <w:vMerge w:val="restart"/>
            <w:tcBorders>
              <w:top w:val="single" w:sz="4" w:space="0" w:color="auto"/>
              <w:left w:val="single" w:sz="4" w:space="0" w:color="auto"/>
              <w:bottom w:val="single" w:sz="4" w:space="0" w:color="000000"/>
              <w:right w:val="single" w:sz="4" w:space="0" w:color="auto"/>
            </w:tcBorders>
            <w:shd w:val="clear" w:color="000000" w:fill="0062AC"/>
            <w:vAlign w:val="center"/>
            <w:hideMark/>
          </w:tcPr>
          <w:p w:rsidR="00D606A9" w:rsidRPr="00D606A9" w:rsidRDefault="00D606A9" w:rsidP="00D606A9">
            <w:pPr>
              <w:spacing w:after="0" w:line="240" w:lineRule="auto"/>
              <w:jc w:val="center"/>
              <w:rPr>
                <w:rFonts w:eastAsia="Times New Roman" w:cs="Arial"/>
                <w:b/>
                <w:bCs/>
                <w:color w:val="FFFFFF"/>
                <w:sz w:val="20"/>
                <w:szCs w:val="20"/>
                <w:lang w:eastAsia="es-CO"/>
              </w:rPr>
            </w:pPr>
            <w:r w:rsidRPr="00D606A9">
              <w:rPr>
                <w:rFonts w:eastAsia="Times New Roman" w:cs="Arial"/>
                <w:b/>
                <w:bCs/>
                <w:color w:val="FFFFFF"/>
                <w:sz w:val="20"/>
                <w:szCs w:val="20"/>
                <w:lang w:eastAsia="es-CO"/>
              </w:rPr>
              <w:t>MEJORA POR IMPLEMENTAR</w:t>
            </w:r>
          </w:p>
        </w:tc>
        <w:tc>
          <w:tcPr>
            <w:tcW w:w="1622" w:type="dxa"/>
            <w:vMerge w:val="restart"/>
            <w:tcBorders>
              <w:top w:val="single" w:sz="4" w:space="0" w:color="auto"/>
              <w:left w:val="single" w:sz="4" w:space="0" w:color="auto"/>
              <w:bottom w:val="single" w:sz="4" w:space="0" w:color="000000"/>
              <w:right w:val="single" w:sz="4" w:space="0" w:color="auto"/>
            </w:tcBorders>
            <w:shd w:val="clear" w:color="000000" w:fill="0062AC"/>
            <w:vAlign w:val="center"/>
            <w:hideMark/>
          </w:tcPr>
          <w:p w:rsidR="00D606A9" w:rsidRPr="00D606A9" w:rsidRDefault="00D606A9" w:rsidP="00D606A9">
            <w:pPr>
              <w:spacing w:after="0" w:line="240" w:lineRule="auto"/>
              <w:jc w:val="center"/>
              <w:rPr>
                <w:rFonts w:eastAsia="Times New Roman" w:cs="Arial"/>
                <w:b/>
                <w:bCs/>
                <w:color w:val="FFFFFF"/>
                <w:sz w:val="20"/>
                <w:szCs w:val="20"/>
                <w:lang w:eastAsia="es-CO"/>
              </w:rPr>
            </w:pPr>
            <w:r w:rsidRPr="00D606A9">
              <w:rPr>
                <w:rFonts w:eastAsia="Times New Roman" w:cs="Arial"/>
                <w:b/>
                <w:bCs/>
                <w:color w:val="FFFFFF"/>
                <w:sz w:val="20"/>
                <w:szCs w:val="20"/>
                <w:lang w:eastAsia="es-CO"/>
              </w:rPr>
              <w:t>BENEFICIO AL CIUDADANO Y/O A LA ENTIDAD</w:t>
            </w:r>
          </w:p>
        </w:tc>
        <w:tc>
          <w:tcPr>
            <w:tcW w:w="1984" w:type="dxa"/>
            <w:vMerge w:val="restart"/>
            <w:tcBorders>
              <w:top w:val="single" w:sz="4" w:space="0" w:color="auto"/>
              <w:left w:val="single" w:sz="4" w:space="0" w:color="auto"/>
              <w:bottom w:val="single" w:sz="4" w:space="0" w:color="000000"/>
              <w:right w:val="single" w:sz="4" w:space="0" w:color="auto"/>
            </w:tcBorders>
            <w:shd w:val="clear" w:color="000000" w:fill="0062AC"/>
            <w:vAlign w:val="center"/>
            <w:hideMark/>
          </w:tcPr>
          <w:p w:rsidR="00D606A9" w:rsidRPr="00D606A9" w:rsidRDefault="00D606A9" w:rsidP="00D606A9">
            <w:pPr>
              <w:spacing w:after="0" w:line="240" w:lineRule="auto"/>
              <w:jc w:val="center"/>
              <w:rPr>
                <w:rFonts w:eastAsia="Times New Roman" w:cs="Arial"/>
                <w:b/>
                <w:bCs/>
                <w:color w:val="FFFFFF"/>
                <w:sz w:val="20"/>
                <w:szCs w:val="20"/>
                <w:lang w:eastAsia="es-CO"/>
              </w:rPr>
            </w:pPr>
            <w:r w:rsidRPr="00D606A9">
              <w:rPr>
                <w:rFonts w:eastAsia="Times New Roman" w:cs="Arial"/>
                <w:b/>
                <w:bCs/>
                <w:color w:val="FFFFFF"/>
                <w:sz w:val="20"/>
                <w:szCs w:val="20"/>
                <w:lang w:eastAsia="es-CO"/>
              </w:rPr>
              <w:t>TIPO DE RACIONALIZACIÓN</w:t>
            </w:r>
          </w:p>
        </w:tc>
        <w:tc>
          <w:tcPr>
            <w:tcW w:w="3828" w:type="dxa"/>
            <w:vMerge w:val="restart"/>
            <w:tcBorders>
              <w:top w:val="single" w:sz="4" w:space="0" w:color="auto"/>
              <w:left w:val="single" w:sz="4" w:space="0" w:color="auto"/>
              <w:bottom w:val="single" w:sz="4" w:space="0" w:color="000000"/>
              <w:right w:val="single" w:sz="4" w:space="0" w:color="auto"/>
            </w:tcBorders>
            <w:shd w:val="clear" w:color="000000" w:fill="0062AC"/>
            <w:vAlign w:val="center"/>
            <w:hideMark/>
          </w:tcPr>
          <w:p w:rsidR="00D606A9" w:rsidRPr="00D606A9" w:rsidRDefault="00D606A9" w:rsidP="00D606A9">
            <w:pPr>
              <w:spacing w:after="0" w:line="240" w:lineRule="auto"/>
              <w:jc w:val="center"/>
              <w:rPr>
                <w:rFonts w:eastAsia="Times New Roman" w:cs="Arial"/>
                <w:b/>
                <w:bCs/>
                <w:color w:val="FFFFFF"/>
                <w:sz w:val="20"/>
                <w:szCs w:val="20"/>
                <w:lang w:eastAsia="es-CO"/>
              </w:rPr>
            </w:pPr>
            <w:r w:rsidRPr="00D606A9">
              <w:rPr>
                <w:rFonts w:eastAsia="Times New Roman" w:cs="Arial"/>
                <w:b/>
                <w:bCs/>
                <w:color w:val="FFFFFF"/>
                <w:sz w:val="20"/>
                <w:szCs w:val="20"/>
                <w:lang w:eastAsia="es-CO"/>
              </w:rPr>
              <w:t>ACCION ESPECÍFICA DE RACIONALIZACIÓN</w:t>
            </w:r>
          </w:p>
        </w:tc>
      </w:tr>
      <w:tr w:rsidR="00D606A9" w:rsidRPr="00D606A9" w:rsidTr="007560A6">
        <w:trPr>
          <w:trHeight w:val="450"/>
        </w:trPr>
        <w:tc>
          <w:tcPr>
            <w:tcW w:w="2206" w:type="dxa"/>
            <w:vMerge/>
            <w:tcBorders>
              <w:top w:val="single" w:sz="4" w:space="0" w:color="auto"/>
              <w:left w:val="single" w:sz="4" w:space="0" w:color="auto"/>
              <w:bottom w:val="single" w:sz="4" w:space="0" w:color="000000"/>
              <w:right w:val="single" w:sz="4" w:space="0" w:color="auto"/>
            </w:tcBorders>
            <w:vAlign w:val="center"/>
            <w:hideMark/>
          </w:tcPr>
          <w:p w:rsidR="00D606A9" w:rsidRPr="00D606A9" w:rsidRDefault="00D606A9" w:rsidP="00D606A9">
            <w:pPr>
              <w:spacing w:after="0" w:line="240" w:lineRule="auto"/>
              <w:rPr>
                <w:rFonts w:eastAsia="Times New Roman" w:cs="Arial"/>
                <w:b/>
                <w:bCs/>
                <w:color w:val="FFFFFF"/>
                <w:sz w:val="20"/>
                <w:szCs w:val="20"/>
                <w:lang w:eastAsia="es-CO"/>
              </w:rPr>
            </w:pPr>
          </w:p>
        </w:tc>
        <w:tc>
          <w:tcPr>
            <w:tcW w:w="1622" w:type="dxa"/>
            <w:vMerge/>
            <w:tcBorders>
              <w:top w:val="single" w:sz="4" w:space="0" w:color="auto"/>
              <w:left w:val="single" w:sz="4" w:space="0" w:color="auto"/>
              <w:bottom w:val="single" w:sz="4" w:space="0" w:color="000000"/>
              <w:right w:val="single" w:sz="4" w:space="0" w:color="auto"/>
            </w:tcBorders>
            <w:vAlign w:val="center"/>
            <w:hideMark/>
          </w:tcPr>
          <w:p w:rsidR="00D606A9" w:rsidRPr="00D606A9" w:rsidRDefault="00D606A9" w:rsidP="00D606A9">
            <w:pPr>
              <w:spacing w:after="0" w:line="240" w:lineRule="auto"/>
              <w:rPr>
                <w:rFonts w:eastAsia="Times New Roman" w:cs="Arial"/>
                <w:b/>
                <w:bCs/>
                <w:color w:val="FFFFFF"/>
                <w:sz w:val="20"/>
                <w:szCs w:val="20"/>
                <w:lang w:eastAsia="es-CO"/>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D606A9" w:rsidRPr="00D606A9" w:rsidRDefault="00D606A9" w:rsidP="00D606A9">
            <w:pPr>
              <w:spacing w:after="0" w:line="240" w:lineRule="auto"/>
              <w:rPr>
                <w:rFonts w:eastAsia="Times New Roman" w:cs="Arial"/>
                <w:b/>
                <w:bCs/>
                <w:color w:val="FFFFFF"/>
                <w:sz w:val="20"/>
                <w:szCs w:val="20"/>
                <w:lang w:eastAsia="es-CO"/>
              </w:rPr>
            </w:pPr>
          </w:p>
        </w:tc>
        <w:tc>
          <w:tcPr>
            <w:tcW w:w="3828" w:type="dxa"/>
            <w:vMerge/>
            <w:tcBorders>
              <w:top w:val="single" w:sz="4" w:space="0" w:color="auto"/>
              <w:left w:val="single" w:sz="4" w:space="0" w:color="auto"/>
              <w:bottom w:val="single" w:sz="4" w:space="0" w:color="000000"/>
              <w:right w:val="single" w:sz="4" w:space="0" w:color="auto"/>
            </w:tcBorders>
            <w:vAlign w:val="center"/>
            <w:hideMark/>
          </w:tcPr>
          <w:p w:rsidR="00D606A9" w:rsidRPr="00D606A9" w:rsidRDefault="00D606A9" w:rsidP="00D606A9">
            <w:pPr>
              <w:spacing w:after="0" w:line="240" w:lineRule="auto"/>
              <w:rPr>
                <w:rFonts w:eastAsia="Times New Roman" w:cs="Arial"/>
                <w:b/>
                <w:bCs/>
                <w:color w:val="FFFFFF"/>
                <w:sz w:val="20"/>
                <w:szCs w:val="20"/>
                <w:lang w:eastAsia="es-CO"/>
              </w:rPr>
            </w:pPr>
          </w:p>
        </w:tc>
      </w:tr>
      <w:tr w:rsidR="00D606A9" w:rsidRPr="00D606A9" w:rsidTr="007560A6">
        <w:trPr>
          <w:trHeight w:val="1073"/>
        </w:trPr>
        <w:tc>
          <w:tcPr>
            <w:tcW w:w="2206" w:type="dxa"/>
            <w:tcBorders>
              <w:top w:val="nil"/>
              <w:left w:val="single" w:sz="4" w:space="0" w:color="auto"/>
              <w:bottom w:val="single" w:sz="4" w:space="0" w:color="auto"/>
              <w:right w:val="single" w:sz="4" w:space="0" w:color="auto"/>
            </w:tcBorders>
            <w:shd w:val="clear" w:color="000000" w:fill="FFFFFF"/>
            <w:vAlign w:val="center"/>
            <w:hideMark/>
          </w:tcPr>
          <w:p w:rsidR="00D606A9" w:rsidRPr="00D606A9" w:rsidRDefault="00614431" w:rsidP="00D606A9">
            <w:pPr>
              <w:spacing w:after="0" w:line="240" w:lineRule="auto"/>
              <w:rPr>
                <w:rFonts w:eastAsia="Times New Roman" w:cs="Arial"/>
                <w:sz w:val="20"/>
                <w:szCs w:val="20"/>
                <w:lang w:eastAsia="es-CO"/>
              </w:rPr>
            </w:pPr>
            <w:r>
              <w:rPr>
                <w:rFonts w:eastAsia="Times New Roman" w:cs="Arial"/>
                <w:sz w:val="20"/>
                <w:szCs w:val="20"/>
                <w:lang w:eastAsia="es-CO"/>
              </w:rPr>
              <w:t>Ajustar los aspectos logísticos del programa de cara a posible apertura de nuevas inscripciones en la vigencia 2019</w:t>
            </w:r>
          </w:p>
        </w:tc>
        <w:tc>
          <w:tcPr>
            <w:tcW w:w="1622" w:type="dxa"/>
            <w:tcBorders>
              <w:top w:val="nil"/>
              <w:left w:val="nil"/>
              <w:bottom w:val="single" w:sz="4" w:space="0" w:color="auto"/>
              <w:right w:val="single" w:sz="4" w:space="0" w:color="auto"/>
            </w:tcBorders>
            <w:shd w:val="clear" w:color="auto" w:fill="auto"/>
            <w:vAlign w:val="center"/>
          </w:tcPr>
          <w:p w:rsidR="00D606A9" w:rsidRPr="00D606A9" w:rsidRDefault="00614431" w:rsidP="00D606A9">
            <w:pPr>
              <w:spacing w:after="0" w:line="240" w:lineRule="auto"/>
              <w:jc w:val="center"/>
              <w:rPr>
                <w:rFonts w:eastAsia="Times New Roman" w:cs="Arial"/>
                <w:color w:val="000000"/>
                <w:sz w:val="20"/>
                <w:szCs w:val="20"/>
                <w:lang w:eastAsia="es-CO"/>
              </w:rPr>
            </w:pPr>
            <w:r>
              <w:rPr>
                <w:rFonts w:eastAsia="Times New Roman" w:cs="Arial"/>
                <w:color w:val="000000"/>
                <w:sz w:val="20"/>
                <w:szCs w:val="20"/>
                <w:lang w:eastAsia="es-CO"/>
              </w:rPr>
              <w:t>Mejoras en el proceso de inscripción en el programa</w:t>
            </w:r>
          </w:p>
        </w:tc>
        <w:tc>
          <w:tcPr>
            <w:tcW w:w="1984" w:type="dxa"/>
            <w:tcBorders>
              <w:top w:val="nil"/>
              <w:left w:val="nil"/>
              <w:bottom w:val="single" w:sz="4" w:space="0" w:color="auto"/>
              <w:right w:val="single" w:sz="4" w:space="0" w:color="auto"/>
            </w:tcBorders>
            <w:shd w:val="clear" w:color="auto" w:fill="auto"/>
            <w:hideMark/>
          </w:tcPr>
          <w:p w:rsidR="00D606A9" w:rsidRPr="00D606A9" w:rsidRDefault="00D606A9" w:rsidP="00D606A9">
            <w:pPr>
              <w:rPr>
                <w:sz w:val="20"/>
                <w:szCs w:val="20"/>
              </w:rPr>
            </w:pPr>
          </w:p>
          <w:p w:rsidR="00D606A9" w:rsidRDefault="00D606A9" w:rsidP="00D606A9">
            <w:pPr>
              <w:rPr>
                <w:sz w:val="20"/>
                <w:szCs w:val="20"/>
              </w:rPr>
            </w:pPr>
          </w:p>
          <w:p w:rsidR="00D606A9" w:rsidRPr="00D606A9" w:rsidRDefault="00D606A9" w:rsidP="00D606A9">
            <w:pPr>
              <w:rPr>
                <w:sz w:val="20"/>
                <w:szCs w:val="20"/>
              </w:rPr>
            </w:pPr>
            <w:r w:rsidRPr="00D606A9">
              <w:rPr>
                <w:sz w:val="20"/>
                <w:szCs w:val="20"/>
              </w:rPr>
              <w:t>Administrativa</w:t>
            </w:r>
          </w:p>
        </w:tc>
        <w:tc>
          <w:tcPr>
            <w:tcW w:w="3828" w:type="dxa"/>
            <w:tcBorders>
              <w:top w:val="nil"/>
              <w:left w:val="nil"/>
              <w:bottom w:val="single" w:sz="4" w:space="0" w:color="auto"/>
              <w:right w:val="single" w:sz="4" w:space="0" w:color="auto"/>
            </w:tcBorders>
            <w:shd w:val="clear" w:color="auto" w:fill="auto"/>
            <w:hideMark/>
          </w:tcPr>
          <w:p w:rsidR="00D606A9" w:rsidRPr="00D606A9" w:rsidRDefault="00D606A9" w:rsidP="00D606A9">
            <w:pPr>
              <w:rPr>
                <w:sz w:val="20"/>
                <w:szCs w:val="20"/>
              </w:rPr>
            </w:pPr>
            <w:r w:rsidRPr="00D606A9">
              <w:rPr>
                <w:sz w:val="20"/>
                <w:szCs w:val="20"/>
              </w:rPr>
              <w:t>Actualización de la Guía del Programa Familias en Acción en los temas relacionados con la Logística para la inscripción al programa a implementar una vez haya apertura del programa a nuevos ingresos</w:t>
            </w:r>
            <w:r w:rsidR="007560A6">
              <w:rPr>
                <w:sz w:val="20"/>
                <w:szCs w:val="20"/>
              </w:rPr>
              <w:t xml:space="preserve"> (DE AQUÍ SE PUEDEN DERIVAR OTRAS ACCIONES DE RACIONALIZACIÓN QUE SE ENCUENTRAN EN ESTUDIO POR PARTE DE LOS LÍDERES DEL PROGRAMAPARA SU VIABILIZACION)</w:t>
            </w:r>
          </w:p>
        </w:tc>
      </w:tr>
      <w:tr w:rsidR="00D606A9" w:rsidRPr="00D606A9" w:rsidTr="007560A6">
        <w:trPr>
          <w:trHeight w:val="1107"/>
        </w:trPr>
        <w:tc>
          <w:tcPr>
            <w:tcW w:w="2206" w:type="dxa"/>
            <w:tcBorders>
              <w:top w:val="nil"/>
              <w:left w:val="single" w:sz="4" w:space="0" w:color="auto"/>
              <w:bottom w:val="single" w:sz="4" w:space="0" w:color="auto"/>
              <w:right w:val="single" w:sz="4" w:space="0" w:color="auto"/>
            </w:tcBorders>
            <w:shd w:val="clear" w:color="000000" w:fill="FFFFFF"/>
            <w:vAlign w:val="center"/>
            <w:hideMark/>
          </w:tcPr>
          <w:p w:rsidR="00D606A9" w:rsidRPr="00D606A9" w:rsidRDefault="00D606A9" w:rsidP="00D606A9">
            <w:pPr>
              <w:spacing w:after="0" w:line="240" w:lineRule="auto"/>
              <w:rPr>
                <w:rFonts w:eastAsia="Times New Roman" w:cs="Arial"/>
                <w:sz w:val="20"/>
                <w:szCs w:val="20"/>
                <w:lang w:eastAsia="es-CO"/>
              </w:rPr>
            </w:pPr>
            <w:r w:rsidRPr="00D606A9">
              <w:rPr>
                <w:rFonts w:eastAsia="Times New Roman" w:cs="Arial"/>
                <w:sz w:val="20"/>
                <w:szCs w:val="20"/>
                <w:lang w:eastAsia="es-CO"/>
              </w:rPr>
              <w:t>Modificar la Ley de Familias en Acción para implementar las medidas que permitan articular los mecanismos de movilidad social e integración con otros programas de Prosperidad Social</w:t>
            </w:r>
          </w:p>
        </w:tc>
        <w:tc>
          <w:tcPr>
            <w:tcW w:w="1622" w:type="dxa"/>
            <w:tcBorders>
              <w:top w:val="nil"/>
              <w:left w:val="nil"/>
              <w:bottom w:val="single" w:sz="4" w:space="0" w:color="auto"/>
              <w:right w:val="single" w:sz="4" w:space="0" w:color="auto"/>
            </w:tcBorders>
            <w:shd w:val="clear" w:color="auto" w:fill="auto"/>
            <w:vAlign w:val="center"/>
          </w:tcPr>
          <w:p w:rsidR="00D606A9" w:rsidRPr="00D606A9" w:rsidRDefault="00614431" w:rsidP="00D606A9">
            <w:pPr>
              <w:spacing w:after="0" w:line="240" w:lineRule="auto"/>
              <w:jc w:val="center"/>
              <w:rPr>
                <w:rFonts w:eastAsia="Times New Roman" w:cs="Arial"/>
                <w:color w:val="000000"/>
                <w:sz w:val="20"/>
                <w:szCs w:val="20"/>
                <w:lang w:eastAsia="es-CO"/>
              </w:rPr>
            </w:pPr>
            <w:r>
              <w:rPr>
                <w:rFonts w:eastAsia="Times New Roman" w:cs="Arial"/>
                <w:color w:val="000000"/>
                <w:sz w:val="20"/>
                <w:szCs w:val="20"/>
                <w:lang w:eastAsia="es-CO"/>
              </w:rPr>
              <w:t>Articulación con otros programas de Prosperidad Social</w:t>
            </w:r>
          </w:p>
        </w:tc>
        <w:tc>
          <w:tcPr>
            <w:tcW w:w="1984" w:type="dxa"/>
            <w:tcBorders>
              <w:top w:val="nil"/>
              <w:left w:val="nil"/>
              <w:bottom w:val="single" w:sz="4" w:space="0" w:color="auto"/>
              <w:right w:val="single" w:sz="4" w:space="0" w:color="auto"/>
            </w:tcBorders>
            <w:shd w:val="clear" w:color="auto" w:fill="auto"/>
            <w:hideMark/>
          </w:tcPr>
          <w:p w:rsidR="00D606A9" w:rsidRPr="00D606A9" w:rsidRDefault="00D606A9" w:rsidP="00D606A9">
            <w:pPr>
              <w:rPr>
                <w:sz w:val="20"/>
                <w:szCs w:val="20"/>
              </w:rPr>
            </w:pPr>
          </w:p>
          <w:p w:rsidR="00D606A9" w:rsidRPr="00D606A9" w:rsidRDefault="00D606A9" w:rsidP="00D606A9">
            <w:pPr>
              <w:rPr>
                <w:sz w:val="20"/>
                <w:szCs w:val="20"/>
              </w:rPr>
            </w:pPr>
          </w:p>
          <w:p w:rsidR="00D606A9" w:rsidRPr="00D606A9" w:rsidRDefault="00D606A9" w:rsidP="00D606A9">
            <w:pPr>
              <w:rPr>
                <w:sz w:val="20"/>
                <w:szCs w:val="20"/>
              </w:rPr>
            </w:pPr>
          </w:p>
          <w:p w:rsidR="00D606A9" w:rsidRPr="00D606A9" w:rsidRDefault="00D606A9" w:rsidP="00D606A9">
            <w:pPr>
              <w:rPr>
                <w:sz w:val="20"/>
                <w:szCs w:val="20"/>
              </w:rPr>
            </w:pPr>
            <w:r w:rsidRPr="00D606A9">
              <w:rPr>
                <w:sz w:val="20"/>
                <w:szCs w:val="20"/>
              </w:rPr>
              <w:t>Normativa</w:t>
            </w:r>
          </w:p>
        </w:tc>
        <w:tc>
          <w:tcPr>
            <w:tcW w:w="3828" w:type="dxa"/>
            <w:tcBorders>
              <w:top w:val="nil"/>
              <w:left w:val="nil"/>
              <w:bottom w:val="single" w:sz="4" w:space="0" w:color="auto"/>
              <w:right w:val="single" w:sz="4" w:space="0" w:color="auto"/>
            </w:tcBorders>
            <w:shd w:val="clear" w:color="auto" w:fill="auto"/>
            <w:hideMark/>
          </w:tcPr>
          <w:p w:rsidR="00D606A9" w:rsidRPr="00D606A9" w:rsidRDefault="00D606A9" w:rsidP="00D606A9">
            <w:pPr>
              <w:rPr>
                <w:sz w:val="20"/>
                <w:szCs w:val="20"/>
              </w:rPr>
            </w:pPr>
            <w:r w:rsidRPr="00D606A9">
              <w:rPr>
                <w:sz w:val="20"/>
                <w:szCs w:val="20"/>
              </w:rPr>
              <w:t>Formular los aspectos relevantes para la modificación de la Ley de Familias en Acción. (Esta acción se venía adelantando desde la vigencia 2018, con lo que el 8 de enero de 2018 se expidió la Ley 1948 de 2019, por medio de la cual se adoptan criterios de política pública para la promoción de la movilidad social y se regula el funcionamiento del programa familias en acción</w:t>
            </w:r>
            <w:r w:rsidR="00614431">
              <w:rPr>
                <w:sz w:val="20"/>
                <w:szCs w:val="20"/>
              </w:rPr>
              <w:t>)</w:t>
            </w:r>
          </w:p>
        </w:tc>
      </w:tr>
      <w:tr w:rsidR="00D606A9" w:rsidRPr="00D606A9" w:rsidTr="007560A6">
        <w:trPr>
          <w:trHeight w:val="996"/>
        </w:trPr>
        <w:tc>
          <w:tcPr>
            <w:tcW w:w="2206" w:type="dxa"/>
            <w:tcBorders>
              <w:top w:val="nil"/>
              <w:left w:val="single" w:sz="4" w:space="0" w:color="auto"/>
              <w:bottom w:val="single" w:sz="4" w:space="0" w:color="auto"/>
              <w:right w:val="single" w:sz="4" w:space="0" w:color="auto"/>
            </w:tcBorders>
            <w:shd w:val="clear" w:color="000000" w:fill="FFFFFF"/>
            <w:vAlign w:val="center"/>
            <w:hideMark/>
          </w:tcPr>
          <w:p w:rsidR="00D606A9" w:rsidRPr="00D606A9" w:rsidRDefault="00D606A9" w:rsidP="00D606A9">
            <w:pPr>
              <w:spacing w:after="0" w:line="240" w:lineRule="auto"/>
              <w:rPr>
                <w:rFonts w:eastAsia="Times New Roman" w:cs="Arial"/>
                <w:sz w:val="20"/>
                <w:szCs w:val="20"/>
                <w:lang w:eastAsia="es-CO"/>
              </w:rPr>
            </w:pPr>
            <w:r>
              <w:rPr>
                <w:rFonts w:eastAsia="Times New Roman" w:cs="Arial"/>
                <w:sz w:val="20"/>
                <w:szCs w:val="20"/>
                <w:lang w:eastAsia="es-CO"/>
              </w:rPr>
              <w:t>Actualizar la reglamentación del programa de acuerdo con los nuevos criterios establecidos a través de la modificación de la Ley de Familias en Acción</w:t>
            </w:r>
          </w:p>
        </w:tc>
        <w:tc>
          <w:tcPr>
            <w:tcW w:w="1622" w:type="dxa"/>
            <w:tcBorders>
              <w:top w:val="nil"/>
              <w:left w:val="nil"/>
              <w:bottom w:val="single" w:sz="4" w:space="0" w:color="auto"/>
              <w:right w:val="single" w:sz="4" w:space="0" w:color="auto"/>
            </w:tcBorders>
            <w:shd w:val="clear" w:color="auto" w:fill="auto"/>
            <w:vAlign w:val="center"/>
          </w:tcPr>
          <w:p w:rsidR="00D606A9" w:rsidRPr="00D606A9" w:rsidRDefault="007560A6" w:rsidP="00D606A9">
            <w:pPr>
              <w:spacing w:after="0" w:line="240" w:lineRule="auto"/>
              <w:jc w:val="center"/>
              <w:rPr>
                <w:rFonts w:eastAsia="Times New Roman" w:cs="Arial"/>
                <w:color w:val="000000"/>
                <w:sz w:val="20"/>
                <w:szCs w:val="20"/>
                <w:lang w:eastAsia="es-CO"/>
              </w:rPr>
            </w:pPr>
            <w:r>
              <w:rPr>
                <w:rFonts w:eastAsia="Times New Roman" w:cs="Arial"/>
                <w:color w:val="000000"/>
                <w:sz w:val="20"/>
                <w:szCs w:val="20"/>
                <w:lang w:eastAsia="es-CO"/>
              </w:rPr>
              <w:t>Actualización del Manual Operativo del programa</w:t>
            </w:r>
          </w:p>
        </w:tc>
        <w:tc>
          <w:tcPr>
            <w:tcW w:w="1984" w:type="dxa"/>
            <w:tcBorders>
              <w:top w:val="nil"/>
              <w:left w:val="nil"/>
              <w:bottom w:val="single" w:sz="4" w:space="0" w:color="auto"/>
              <w:right w:val="single" w:sz="4" w:space="0" w:color="auto"/>
            </w:tcBorders>
            <w:shd w:val="clear" w:color="auto" w:fill="auto"/>
            <w:hideMark/>
          </w:tcPr>
          <w:p w:rsidR="00D606A9" w:rsidRPr="00D606A9" w:rsidRDefault="00D606A9" w:rsidP="00D606A9">
            <w:pPr>
              <w:rPr>
                <w:sz w:val="20"/>
                <w:szCs w:val="20"/>
              </w:rPr>
            </w:pPr>
          </w:p>
          <w:p w:rsidR="00D606A9" w:rsidRDefault="00D606A9" w:rsidP="00D606A9">
            <w:pPr>
              <w:rPr>
                <w:sz w:val="20"/>
                <w:szCs w:val="20"/>
              </w:rPr>
            </w:pPr>
          </w:p>
          <w:p w:rsidR="00D606A9" w:rsidRPr="00D606A9" w:rsidRDefault="00D606A9" w:rsidP="00D606A9">
            <w:pPr>
              <w:rPr>
                <w:sz w:val="20"/>
                <w:szCs w:val="20"/>
              </w:rPr>
            </w:pPr>
            <w:r w:rsidRPr="00D606A9">
              <w:rPr>
                <w:sz w:val="20"/>
                <w:szCs w:val="20"/>
              </w:rPr>
              <w:t>Normativa</w:t>
            </w:r>
          </w:p>
        </w:tc>
        <w:tc>
          <w:tcPr>
            <w:tcW w:w="3828" w:type="dxa"/>
            <w:tcBorders>
              <w:top w:val="nil"/>
              <w:left w:val="nil"/>
              <w:bottom w:val="single" w:sz="4" w:space="0" w:color="auto"/>
              <w:right w:val="single" w:sz="4" w:space="0" w:color="auto"/>
            </w:tcBorders>
            <w:shd w:val="clear" w:color="auto" w:fill="auto"/>
            <w:hideMark/>
          </w:tcPr>
          <w:p w:rsidR="00D606A9" w:rsidRDefault="00D606A9" w:rsidP="00D606A9">
            <w:pPr>
              <w:rPr>
                <w:sz w:val="20"/>
                <w:szCs w:val="20"/>
              </w:rPr>
            </w:pPr>
          </w:p>
          <w:p w:rsidR="00D606A9" w:rsidRPr="00D606A9" w:rsidRDefault="00D606A9" w:rsidP="00D606A9">
            <w:pPr>
              <w:rPr>
                <w:sz w:val="20"/>
                <w:szCs w:val="20"/>
              </w:rPr>
            </w:pPr>
            <w:r w:rsidRPr="00D606A9">
              <w:rPr>
                <w:sz w:val="20"/>
                <w:szCs w:val="20"/>
              </w:rPr>
              <w:t>Realizar los ajustes a la resolución que implemente el Manual Operativo del programa MFA, derivados de la Modificación a la ley del programa</w:t>
            </w:r>
          </w:p>
        </w:tc>
      </w:tr>
    </w:tbl>
    <w:p w:rsidR="00D606A9" w:rsidRDefault="00D606A9" w:rsidP="009E6576">
      <w:pPr>
        <w:pStyle w:val="Prrafodelista"/>
        <w:rPr>
          <w:rFonts w:ascii="Calibri" w:hAnsi="Calibri" w:cs="Calibri"/>
        </w:rPr>
      </w:pPr>
    </w:p>
    <w:p w:rsidR="00D606A9" w:rsidRPr="009E6576" w:rsidRDefault="00D606A9" w:rsidP="009E6576">
      <w:pPr>
        <w:pStyle w:val="Prrafodelista"/>
        <w:rPr>
          <w:rFonts w:ascii="Calibri" w:hAnsi="Calibri" w:cs="Calibri"/>
        </w:rPr>
      </w:pPr>
    </w:p>
    <w:p w:rsidR="000A6967" w:rsidRDefault="00614431" w:rsidP="000A6967">
      <w:pPr>
        <w:pStyle w:val="Prrafodelista"/>
      </w:pPr>
      <w:r>
        <w:t>Adicional a estas acciones de mejora que se complementen como resultado de la reunión del Comité Sectorial establecido en la Directiva 07 de 2018 (a realizarse el 17 de enero de 2019), se realizará la actualización de la información consignada en el SUIT resultado de la actualización del Manual Operativo del programa</w:t>
      </w:r>
    </w:p>
    <w:p w:rsidR="00614431" w:rsidRDefault="00614431" w:rsidP="000A6967">
      <w:pPr>
        <w:pStyle w:val="Prrafodelista"/>
      </w:pPr>
    </w:p>
    <w:p w:rsidR="00614431" w:rsidRDefault="00614431" w:rsidP="00614431">
      <w:pPr>
        <w:pStyle w:val="Prrafodelista"/>
      </w:pPr>
    </w:p>
    <w:p w:rsidR="00614431" w:rsidRDefault="00614431" w:rsidP="00E34AD8">
      <w:pPr>
        <w:pStyle w:val="Prrafodelista"/>
        <w:jc w:val="both"/>
      </w:pPr>
      <w:r>
        <w:t>En cuanto a la Agenda regulatoria, se incorporaron los aspectos relevantes asociados al Programa establecidos en la Ley 1491 del 08 de enero de 2019 “Por medio de la cual se adoptan criterios de política pública para la promoción de la movilidad social y se regula el funcionamiento del programa Familias en Acción”, cuyo objeto es el siguiente:</w:t>
      </w:r>
    </w:p>
    <w:p w:rsidR="00614431" w:rsidRDefault="00614431" w:rsidP="00614431">
      <w:pPr>
        <w:pStyle w:val="Prrafodelista"/>
      </w:pPr>
    </w:p>
    <w:p w:rsidR="00614431" w:rsidRDefault="00614431" w:rsidP="00614431">
      <w:pPr>
        <w:pStyle w:val="Prrafodelista"/>
        <w:numPr>
          <w:ilvl w:val="0"/>
          <w:numId w:val="3"/>
        </w:numPr>
      </w:pPr>
      <w:r>
        <w:t>Apoyar la culminación del ciclo de educación básica y media</w:t>
      </w:r>
    </w:p>
    <w:p w:rsidR="00614431" w:rsidRDefault="00614431" w:rsidP="00614431">
      <w:pPr>
        <w:pStyle w:val="Prrafodelista"/>
        <w:numPr>
          <w:ilvl w:val="0"/>
          <w:numId w:val="3"/>
        </w:numPr>
      </w:pPr>
      <w:r>
        <w:t>Impulsar el tránsito de los jóvenes bachilleres promovidos del Programa a instituciones y programas de educación superior</w:t>
      </w:r>
    </w:p>
    <w:p w:rsidR="00614431" w:rsidRDefault="00614431" w:rsidP="00614431">
      <w:pPr>
        <w:pStyle w:val="Prrafodelista"/>
        <w:numPr>
          <w:ilvl w:val="0"/>
          <w:numId w:val="3"/>
        </w:numPr>
      </w:pPr>
      <w:r>
        <w:t>Contribuir a la prevención del embarazo en la adolescencia</w:t>
      </w:r>
    </w:p>
    <w:p w:rsidR="00614431" w:rsidRDefault="00614431" w:rsidP="00614431">
      <w:pPr>
        <w:pStyle w:val="Prrafodelista"/>
        <w:numPr>
          <w:ilvl w:val="0"/>
          <w:numId w:val="3"/>
        </w:numPr>
      </w:pPr>
      <w:r>
        <w:t>Mejorar las competencias ciudadanas y comunitarias de los titulares y beneficiarios del programa</w:t>
      </w:r>
    </w:p>
    <w:p w:rsidR="00614431" w:rsidRDefault="00614431" w:rsidP="00614431">
      <w:pPr>
        <w:pStyle w:val="Prrafodelista"/>
        <w:numPr>
          <w:ilvl w:val="0"/>
          <w:numId w:val="3"/>
        </w:numPr>
      </w:pPr>
      <w:r>
        <w:t xml:space="preserve">Priorizar la ampliación de la cobertura rural del Programa Familias en Acción y </w:t>
      </w:r>
    </w:p>
    <w:p w:rsidR="00614431" w:rsidRDefault="00614431" w:rsidP="00614431">
      <w:pPr>
        <w:pStyle w:val="Prrafodelista"/>
        <w:numPr>
          <w:ilvl w:val="0"/>
          <w:numId w:val="3"/>
        </w:numPr>
      </w:pPr>
      <w:r>
        <w:t>Fomentar los factores de movilidad social de las familias beneficiarias en aras de estimular la superación de las condiciones de pobreza y pobreza extrema.</w:t>
      </w:r>
    </w:p>
    <w:p w:rsidR="00614431" w:rsidRDefault="00614431" w:rsidP="00614431">
      <w:pPr>
        <w:ind w:left="720"/>
      </w:pPr>
      <w:r>
        <w:t xml:space="preserve">Se debe </w:t>
      </w:r>
      <w:r w:rsidR="0009022C">
        <w:t>realizar la actualización de la resolución 178 del 23 de enero de 2017, por medio de l cual se adopta el Manual Operativo del programa Familias en Acción de acuerdo con los nuevos lineamientos establecidos en la Ley1498 de 2019.</w:t>
      </w:r>
    </w:p>
    <w:p w:rsidR="0009022C" w:rsidRDefault="0009022C" w:rsidP="0009022C">
      <w:pPr>
        <w:ind w:left="720"/>
        <w:jc w:val="both"/>
      </w:pPr>
    </w:p>
    <w:p w:rsidR="0009022C" w:rsidRDefault="0009022C" w:rsidP="0009022C">
      <w:pPr>
        <w:pStyle w:val="Sinespaciado"/>
        <w:ind w:left="708"/>
        <w:jc w:val="both"/>
      </w:pPr>
      <w:r>
        <w:t>En cuanto a los criterios de Obsolescencia de Normas y teniendo en cuenta lo anterio</w:t>
      </w:r>
      <w:r w:rsidR="00601E60">
        <w:t>r</w:t>
      </w:r>
      <w:r>
        <w:t>, se obtuvieron los siguientes resultados:</w:t>
      </w:r>
    </w:p>
    <w:p w:rsidR="0009022C" w:rsidRDefault="0009022C" w:rsidP="0009022C">
      <w:pPr>
        <w:pStyle w:val="Sinespaciado"/>
        <w:ind w:left="708"/>
        <w:jc w:val="both"/>
      </w:pPr>
    </w:p>
    <w:p w:rsidR="0009022C" w:rsidRDefault="0009022C" w:rsidP="0009022C">
      <w:pPr>
        <w:pStyle w:val="Sinespaciado"/>
        <w:numPr>
          <w:ilvl w:val="0"/>
          <w:numId w:val="4"/>
        </w:numPr>
        <w:jc w:val="both"/>
      </w:pPr>
      <w:r>
        <w:t xml:space="preserve">Antecedentes del análisis </w:t>
      </w:r>
    </w:p>
    <w:p w:rsidR="0009022C" w:rsidRDefault="0009022C" w:rsidP="0009022C">
      <w:pPr>
        <w:pStyle w:val="Sinespaciado"/>
        <w:ind w:left="708"/>
        <w:jc w:val="both"/>
      </w:pPr>
      <w:r>
        <w:t>En atención a la primera fase de la campaña Estado Simple Colombia Ágil, se compiló en una sola base de datos la información obtenida de manera presencial por las entidades del sector y la remitida por el Departamento Administrativo de la Función Pública.</w:t>
      </w:r>
    </w:p>
    <w:p w:rsidR="0009022C" w:rsidRDefault="0009022C" w:rsidP="0009022C">
      <w:pPr>
        <w:pStyle w:val="Sinespaciado"/>
        <w:ind w:left="708"/>
        <w:jc w:val="both"/>
      </w:pPr>
      <w:r>
        <w:t xml:space="preserve">La información que se encuentra anotada en letra roja dentro de la base de </w:t>
      </w:r>
      <w:proofErr w:type="gramStart"/>
      <w:r>
        <w:t>datos,</w:t>
      </w:r>
      <w:proofErr w:type="gramEnd"/>
      <w:r>
        <w:t xml:space="preserve"> fue incorporada por la Oficina Asesora Jurídica a fin de estandarizar en el formato remitido por el Departamento Administrativo de la Función Pública la información obtenida de manera presencial.</w:t>
      </w:r>
    </w:p>
    <w:p w:rsidR="0009022C" w:rsidRDefault="0009022C" w:rsidP="0009022C">
      <w:pPr>
        <w:pStyle w:val="Sinespaciado"/>
        <w:ind w:left="708"/>
        <w:jc w:val="both"/>
      </w:pPr>
    </w:p>
    <w:p w:rsidR="0009022C" w:rsidRDefault="0009022C" w:rsidP="0009022C">
      <w:pPr>
        <w:pStyle w:val="Sinespaciado"/>
        <w:numPr>
          <w:ilvl w:val="0"/>
          <w:numId w:val="4"/>
        </w:numPr>
        <w:jc w:val="both"/>
      </w:pPr>
      <w:r>
        <w:t>Resultados de participación ciudadana sobre normas obsoletas</w:t>
      </w:r>
    </w:p>
    <w:p w:rsidR="0009022C" w:rsidRDefault="0009022C" w:rsidP="0009022C">
      <w:pPr>
        <w:pStyle w:val="Sinespaciado"/>
        <w:ind w:left="708"/>
        <w:jc w:val="both"/>
      </w:pPr>
      <w:r>
        <w:lastRenderedPageBreak/>
        <w:t xml:space="preserve">De las observaciones remitidas por el Departamento Administrativo de la Función Pública, como objeto de análisis de la primera fase de la campaña Estado Simple Colombia Ágil, se pueden identificar los siguientes resultados: </w:t>
      </w:r>
    </w:p>
    <w:p w:rsidR="0009022C" w:rsidRDefault="0009022C" w:rsidP="0009022C">
      <w:pPr>
        <w:pStyle w:val="Sinespaciado"/>
        <w:jc w:val="both"/>
      </w:pPr>
    </w:p>
    <w:p w:rsidR="0009022C" w:rsidRDefault="0009022C" w:rsidP="0009022C">
      <w:pPr>
        <w:pStyle w:val="Sinespaciado"/>
        <w:ind w:left="708"/>
        <w:jc w:val="both"/>
      </w:pPr>
      <w:r>
        <w:t>a)</w:t>
      </w:r>
      <w:r>
        <w:tab/>
        <w:t>Observaciones a las normas presentadas en el aplicativo web de la campaña Estado Simple Colombia Ágil:</w:t>
      </w:r>
    </w:p>
    <w:p w:rsidR="0009022C" w:rsidRDefault="0009022C" w:rsidP="0009022C">
      <w:pPr>
        <w:pStyle w:val="Sinespaciado"/>
        <w:jc w:val="both"/>
      </w:pPr>
    </w:p>
    <w:p w:rsidR="0009022C" w:rsidRDefault="0009022C" w:rsidP="0009022C">
      <w:pPr>
        <w:pStyle w:val="Sinespaciado"/>
        <w:numPr>
          <w:ilvl w:val="0"/>
          <w:numId w:val="5"/>
        </w:numPr>
        <w:jc w:val="both"/>
      </w:pPr>
      <w:r>
        <w:t>Ley 1532 de 2012, “Por medio de la cual se adoptan unas medidas de política y se regula el funcionamiento del Programa Familias en Acción”.</w:t>
      </w:r>
    </w:p>
    <w:p w:rsidR="0009022C" w:rsidRDefault="0009022C" w:rsidP="0009022C">
      <w:pPr>
        <w:pStyle w:val="Sinespaciado"/>
        <w:ind w:firstLine="708"/>
        <w:jc w:val="both"/>
      </w:pPr>
    </w:p>
    <w:p w:rsidR="0009022C" w:rsidRDefault="0009022C" w:rsidP="0009022C">
      <w:pPr>
        <w:pStyle w:val="Sinespaciado"/>
        <w:ind w:firstLine="708"/>
        <w:jc w:val="both"/>
      </w:pPr>
      <w:r>
        <w:t>La ciudadanía presento cuatro (4) observaciones, de las cuales:</w:t>
      </w:r>
    </w:p>
    <w:p w:rsidR="0009022C" w:rsidRDefault="0009022C" w:rsidP="0009022C">
      <w:pPr>
        <w:pStyle w:val="Sinespaciado"/>
        <w:ind w:left="708"/>
        <w:jc w:val="both"/>
      </w:pPr>
      <w:r>
        <w:t>En tres (3) no se especificó la causa o el motivo por el cual se considera obsoleta; y en la última se señaló como criterio de depuración que “Alcanzó la finalidad por la que fue expedida o no es posible exigir su cumplimiento puesto que lo dispuesto en ellas ya se cumplió.”</w:t>
      </w:r>
    </w:p>
    <w:p w:rsidR="0009022C" w:rsidRDefault="0009022C" w:rsidP="0009022C">
      <w:pPr>
        <w:pStyle w:val="Sinespaciado"/>
        <w:jc w:val="both"/>
      </w:pPr>
    </w:p>
    <w:p w:rsidR="0009022C" w:rsidRDefault="0009022C" w:rsidP="0009022C">
      <w:pPr>
        <w:pStyle w:val="Sinespaciado"/>
        <w:ind w:left="708"/>
        <w:jc w:val="both"/>
      </w:pPr>
      <w:r>
        <w:t>Frente a esta última observación es importante recordar que la Ley 1532 de 2012, de conformidad con lo contenido en los antecedentes de su formación, busca generar continuidad del Programa Familias en Acción como política institucional para superar la pobreza, a través del incentivo en la formación de capital humano y de desarrollo desde la familia como núcleo esencial de la sociedad.</w:t>
      </w:r>
    </w:p>
    <w:p w:rsidR="0009022C" w:rsidRDefault="0009022C" w:rsidP="0009022C">
      <w:pPr>
        <w:pStyle w:val="Sinespaciado"/>
        <w:ind w:left="708"/>
        <w:jc w:val="both"/>
      </w:pPr>
      <w:r>
        <w:t xml:space="preserve">Por lo anterior, no se posible afirmar que la ley agotó su finalidad en la medida que a la fecha aún se está desarrollando el presente programa, en atención a las necesidades sociales y económicas de Colombia y por el contrario, como se expresó anteriormente, se expidió la ley 1498 de enero de 2019 </w:t>
      </w:r>
      <w:r w:rsidRPr="0009022C">
        <w:t>“Por medio de la cual se adoptan criterios de política pública para la promoción de la movilidad social y se regula el funcionamiento del programa Familias en Acción”,</w:t>
      </w:r>
      <w:r>
        <w:t xml:space="preserve"> con lo que cobra aún más vigencia la finalidad de la misma</w:t>
      </w:r>
    </w:p>
    <w:p w:rsidR="0009022C" w:rsidRDefault="0009022C" w:rsidP="0009022C">
      <w:pPr>
        <w:pStyle w:val="Sinespaciado"/>
        <w:jc w:val="both"/>
      </w:pPr>
    </w:p>
    <w:p w:rsidR="0009022C" w:rsidRDefault="0009022C" w:rsidP="0009022C">
      <w:pPr>
        <w:pStyle w:val="Sinespaciado"/>
        <w:numPr>
          <w:ilvl w:val="0"/>
          <w:numId w:val="5"/>
        </w:numPr>
        <w:jc w:val="both"/>
      </w:pPr>
      <w:r>
        <w:t xml:space="preserve">Resolución 178 de 2017, “Por la cual se adopta el Manual Operativo del Programa Más Familias en Acción — versión 4". </w:t>
      </w:r>
    </w:p>
    <w:p w:rsidR="0009022C" w:rsidRDefault="0009022C" w:rsidP="0009022C">
      <w:pPr>
        <w:pStyle w:val="Sinespaciado"/>
        <w:jc w:val="both"/>
      </w:pPr>
    </w:p>
    <w:p w:rsidR="0009022C" w:rsidRDefault="0009022C" w:rsidP="0009022C">
      <w:pPr>
        <w:pStyle w:val="Sinespaciado"/>
        <w:ind w:left="708"/>
        <w:jc w:val="both"/>
      </w:pPr>
      <w:r>
        <w:t xml:space="preserve">La ciudadanía presentó cinco (5) observaciones bajo la causal de: “Resulta inaplicable cuando contraría o impacta negativamente la realidad social, económica, cultural, política o tecnológica del país.” </w:t>
      </w:r>
    </w:p>
    <w:p w:rsidR="0009022C" w:rsidRDefault="0009022C" w:rsidP="0009022C">
      <w:pPr>
        <w:pStyle w:val="Sinespaciado"/>
        <w:ind w:left="708"/>
        <w:jc w:val="both"/>
      </w:pPr>
      <w:r>
        <w:t xml:space="preserve">Sin embargo, al examinar las “orientaciones para la validación de normas depurables” emitidas por el Ministerio de Justicia, los supuestos de hecho y de derecho que generaron la expedición de la presente norma se encuentran vigentes, como se desprende de la vigencia de la Ley 1532 de 2012, por lo cual no es posible afirmar que esta norma sea inaplicable por ausencia de los supuestos de hecho y de derecho. </w:t>
      </w:r>
    </w:p>
    <w:p w:rsidR="0009022C" w:rsidRDefault="0009022C" w:rsidP="0009022C">
      <w:pPr>
        <w:pStyle w:val="Sinespaciado"/>
        <w:ind w:left="708"/>
        <w:jc w:val="both"/>
      </w:pPr>
      <w:r>
        <w:t xml:space="preserve">Ahora bien, para la definición de conveniencia de la norma es importante remitirse a las observaciones generadas por el programa con ocasión de los resultados del análisis de las observaciones a los trámites y normas de alto impacto de las cuales se desprenderá si existe necesidad de realizar ajustes o modificaciones a la Resolución 178 de 2017, derivadas de la modificación de la ley con la expedición de la ley 1498 de enero de 2018. Acciones que </w:t>
      </w:r>
      <w:r>
        <w:lastRenderedPageBreak/>
        <w:t>quedaron</w:t>
      </w:r>
      <w:r w:rsidR="00535B14">
        <w:t xml:space="preserve"> </w:t>
      </w:r>
      <w:r>
        <w:t xml:space="preserve">incluidas en la Estrategia de Racionalización de </w:t>
      </w:r>
      <w:r w:rsidR="00535B14">
        <w:t>Trámites</w:t>
      </w:r>
      <w:r>
        <w:t xml:space="preserve"> para la vigencia 2019 como tipo de racionalización normativa</w:t>
      </w:r>
    </w:p>
    <w:p w:rsidR="0021548B" w:rsidRDefault="0021548B" w:rsidP="0009022C">
      <w:pPr>
        <w:pStyle w:val="Sinespaciado"/>
        <w:ind w:left="708"/>
        <w:jc w:val="both"/>
      </w:pPr>
    </w:p>
    <w:p w:rsidR="0009022C" w:rsidRDefault="0009022C" w:rsidP="0009022C">
      <w:pPr>
        <w:pStyle w:val="Sinespaciado"/>
        <w:ind w:left="708"/>
        <w:jc w:val="both"/>
      </w:pPr>
      <w:r>
        <w:t>b)</w:t>
      </w:r>
      <w:r>
        <w:tab/>
        <w:t>Observaciones a las normas presentadas de manera presenciales los espacios generados para tal fin:</w:t>
      </w:r>
    </w:p>
    <w:p w:rsidR="0009022C" w:rsidRDefault="0009022C" w:rsidP="0009022C">
      <w:pPr>
        <w:pStyle w:val="Sinespaciado"/>
        <w:jc w:val="both"/>
      </w:pPr>
    </w:p>
    <w:p w:rsidR="0009022C" w:rsidRDefault="0009022C" w:rsidP="0021548B">
      <w:pPr>
        <w:pStyle w:val="Sinespaciado"/>
        <w:numPr>
          <w:ilvl w:val="0"/>
          <w:numId w:val="5"/>
        </w:numPr>
        <w:jc w:val="both"/>
      </w:pPr>
      <w:r>
        <w:t>Ley 1532 de 2012, “Por medio de la cual se adoptan unas medidas de política y se regula el funcionamiento del Programa Familias en Acción”.</w:t>
      </w:r>
    </w:p>
    <w:p w:rsidR="0009022C" w:rsidRDefault="0009022C" w:rsidP="0009022C">
      <w:pPr>
        <w:pStyle w:val="Sinespaciado"/>
        <w:jc w:val="both"/>
      </w:pPr>
    </w:p>
    <w:p w:rsidR="0009022C" w:rsidRDefault="0009022C" w:rsidP="0009022C">
      <w:pPr>
        <w:pStyle w:val="Sinespaciado"/>
        <w:ind w:left="708"/>
        <w:jc w:val="both"/>
      </w:pPr>
      <w:r>
        <w:t>Se presentó una (1) observación presencial, pero la misma no corresponde a la categoría de obsolescencia, pues sugiere la inconveniencia del parágrafo 3 del artículo 10 en la Ley 1532 de 2012, por lo cual debe ser analizado por el programa, a fin de determinar si existe necesidad de eliminar la restricción de hacer afiliaciones al programa dentro de la época electoral.</w:t>
      </w:r>
    </w:p>
    <w:p w:rsidR="0009022C" w:rsidRDefault="0009022C" w:rsidP="0009022C">
      <w:pPr>
        <w:pStyle w:val="Sinespaciado"/>
        <w:jc w:val="both"/>
      </w:pPr>
    </w:p>
    <w:p w:rsidR="0009022C" w:rsidRDefault="0009022C" w:rsidP="0009022C">
      <w:pPr>
        <w:pStyle w:val="Sinespaciado"/>
        <w:ind w:firstLine="708"/>
        <w:jc w:val="both"/>
      </w:pPr>
      <w:r>
        <w:t xml:space="preserve">Normas que se encuentran ya en proceso de depuración </w:t>
      </w:r>
    </w:p>
    <w:p w:rsidR="0009022C" w:rsidRDefault="0009022C" w:rsidP="0009022C">
      <w:pPr>
        <w:pStyle w:val="Sinespaciado"/>
        <w:jc w:val="both"/>
      </w:pPr>
    </w:p>
    <w:p w:rsidR="0009022C" w:rsidRDefault="0009022C" w:rsidP="00601E60">
      <w:pPr>
        <w:pStyle w:val="Sinespaciado"/>
        <w:ind w:left="708"/>
        <w:jc w:val="both"/>
      </w:pPr>
      <w:r>
        <w:t xml:space="preserve">Finalmente, se presentó una observación contentiva de las normas que actualmente se encuentran incorporadas en el Proyecto de Ley 199 de senado sobre depuración normativa, donde se señala la necesidad de excluir del ordenamiento jurídico las siguientes normas: </w:t>
      </w:r>
    </w:p>
    <w:p w:rsidR="0009022C" w:rsidRDefault="0009022C" w:rsidP="00601E60">
      <w:pPr>
        <w:pStyle w:val="Sinespaciado"/>
        <w:jc w:val="both"/>
      </w:pPr>
    </w:p>
    <w:p w:rsidR="0009022C" w:rsidRDefault="0009022C" w:rsidP="0021548B">
      <w:pPr>
        <w:pStyle w:val="Sinespaciado"/>
        <w:ind w:firstLine="708"/>
        <w:jc w:val="both"/>
      </w:pPr>
      <w:r>
        <w:t>Ley 36 de 1875</w:t>
      </w:r>
    </w:p>
    <w:p w:rsidR="0009022C" w:rsidRDefault="0009022C" w:rsidP="0021548B">
      <w:pPr>
        <w:pStyle w:val="Sinespaciado"/>
        <w:ind w:firstLine="708"/>
        <w:jc w:val="both"/>
      </w:pPr>
      <w:r>
        <w:t>Ley 56 de 1878</w:t>
      </w:r>
    </w:p>
    <w:p w:rsidR="0009022C" w:rsidRDefault="0009022C" w:rsidP="0021548B">
      <w:pPr>
        <w:pStyle w:val="Sinespaciado"/>
        <w:ind w:firstLine="708"/>
        <w:jc w:val="both"/>
      </w:pPr>
      <w:r>
        <w:t>Ley 59 de1881</w:t>
      </w:r>
    </w:p>
    <w:p w:rsidR="0009022C" w:rsidRDefault="0009022C" w:rsidP="0021548B">
      <w:pPr>
        <w:pStyle w:val="Sinespaciado"/>
        <w:ind w:firstLine="708"/>
        <w:jc w:val="both"/>
      </w:pPr>
      <w:r>
        <w:t>Ley 81 de 1886</w:t>
      </w:r>
    </w:p>
    <w:p w:rsidR="0009022C" w:rsidRDefault="0009022C" w:rsidP="0021548B">
      <w:pPr>
        <w:pStyle w:val="Sinespaciado"/>
        <w:ind w:firstLine="708"/>
        <w:jc w:val="both"/>
      </w:pPr>
      <w:r>
        <w:t>Ley 62 de 1887</w:t>
      </w:r>
    </w:p>
    <w:p w:rsidR="0009022C" w:rsidRDefault="0009022C" w:rsidP="0021548B">
      <w:pPr>
        <w:pStyle w:val="Sinespaciado"/>
        <w:ind w:firstLine="708"/>
        <w:jc w:val="both"/>
      </w:pPr>
      <w:r>
        <w:t>Ley 8 de 1905</w:t>
      </w:r>
    </w:p>
    <w:p w:rsidR="0009022C" w:rsidRDefault="0009022C" w:rsidP="0021548B">
      <w:pPr>
        <w:pStyle w:val="Sinespaciado"/>
        <w:ind w:firstLine="708"/>
        <w:jc w:val="both"/>
      </w:pPr>
      <w:r>
        <w:t>Decreto Legislativo 928 de 1907</w:t>
      </w:r>
    </w:p>
    <w:p w:rsidR="0009022C" w:rsidRDefault="0009022C" w:rsidP="0021548B">
      <w:pPr>
        <w:pStyle w:val="Sinespaciado"/>
        <w:ind w:firstLine="708"/>
        <w:jc w:val="both"/>
      </w:pPr>
      <w:r>
        <w:t>Ley 62 de 1912</w:t>
      </w:r>
    </w:p>
    <w:p w:rsidR="0009022C" w:rsidRDefault="0009022C" w:rsidP="0021548B">
      <w:pPr>
        <w:pStyle w:val="Sinespaciado"/>
        <w:ind w:firstLine="708"/>
        <w:jc w:val="both"/>
      </w:pPr>
      <w:r>
        <w:t>Ley 119 de 1919</w:t>
      </w:r>
    </w:p>
    <w:p w:rsidR="0009022C" w:rsidRDefault="0009022C" w:rsidP="0021548B">
      <w:pPr>
        <w:pStyle w:val="Sinespaciado"/>
        <w:ind w:firstLine="708"/>
        <w:jc w:val="both"/>
      </w:pPr>
      <w:r>
        <w:t>Ley 39 de 1920</w:t>
      </w:r>
    </w:p>
    <w:p w:rsidR="0009022C" w:rsidRDefault="0009022C" w:rsidP="0021548B">
      <w:pPr>
        <w:pStyle w:val="Sinespaciado"/>
        <w:ind w:firstLine="708"/>
        <w:jc w:val="both"/>
      </w:pPr>
      <w:r>
        <w:t>Ley 93 de 1931</w:t>
      </w:r>
    </w:p>
    <w:p w:rsidR="0009022C" w:rsidRDefault="0021548B" w:rsidP="0021548B">
      <w:pPr>
        <w:pStyle w:val="Sinespaciado"/>
        <w:jc w:val="both"/>
      </w:pPr>
      <w:r>
        <w:tab/>
      </w:r>
      <w:r w:rsidR="0009022C">
        <w:t>Ley 48 de 1936</w:t>
      </w:r>
    </w:p>
    <w:p w:rsidR="0021548B" w:rsidRDefault="0021548B" w:rsidP="0021548B">
      <w:pPr>
        <w:pStyle w:val="Sinespaciado"/>
        <w:ind w:left="360"/>
        <w:jc w:val="both"/>
      </w:pPr>
      <w:r>
        <w:tab/>
      </w:r>
      <w:r w:rsidR="0009022C">
        <w:t>Decreto 3521 de 1949</w:t>
      </w:r>
    </w:p>
    <w:p w:rsidR="0009022C" w:rsidRDefault="0021548B" w:rsidP="0021548B">
      <w:pPr>
        <w:pStyle w:val="Sinespaciado"/>
        <w:ind w:left="360"/>
        <w:jc w:val="both"/>
      </w:pPr>
      <w:r>
        <w:tab/>
      </w:r>
      <w:r w:rsidR="0009022C">
        <w:t>Decreto 1108 de 1952</w:t>
      </w:r>
    </w:p>
    <w:p w:rsidR="0009022C" w:rsidRDefault="0009022C" w:rsidP="0021548B">
      <w:pPr>
        <w:pStyle w:val="Sinespaciado"/>
        <w:jc w:val="both"/>
      </w:pPr>
    </w:p>
    <w:p w:rsidR="0009022C" w:rsidRDefault="004E71C4" w:rsidP="0009022C">
      <w:pPr>
        <w:pStyle w:val="Sinespaciado"/>
        <w:jc w:val="both"/>
      </w:pPr>
      <w:r>
        <w:tab/>
      </w:r>
      <w:r w:rsidR="0009022C">
        <w:t xml:space="preserve">Luego, la validación de las normas referidas como normas depurables por obsolescencia fue </w:t>
      </w:r>
      <w:r>
        <w:tab/>
      </w:r>
      <w:r w:rsidR="0009022C">
        <w:t xml:space="preserve">efectuada y confirmada por el Ministerio de justicia previa presentación del Proyecto de Ley </w:t>
      </w:r>
      <w:r>
        <w:tab/>
      </w:r>
      <w:r w:rsidR="0009022C">
        <w:t xml:space="preserve">199 de 2018 Senado. Motivo por el cual, no se requiere pronunciamiento por parte del </w:t>
      </w:r>
      <w:r>
        <w:tab/>
      </w:r>
      <w:r w:rsidR="0009022C">
        <w:t xml:space="preserve">sector sobre su aplicabilidad a la luz de la realidad social, económica, cultural, política o </w:t>
      </w:r>
      <w:r>
        <w:tab/>
      </w:r>
      <w:r w:rsidR="0009022C">
        <w:t xml:space="preserve">tecnológica del país. </w:t>
      </w:r>
    </w:p>
    <w:p w:rsidR="0009022C" w:rsidRDefault="0009022C" w:rsidP="0009022C">
      <w:pPr>
        <w:pStyle w:val="Sinespaciado"/>
        <w:jc w:val="both"/>
      </w:pPr>
    </w:p>
    <w:p w:rsidR="0009022C" w:rsidRDefault="0009022C" w:rsidP="0009022C">
      <w:pPr>
        <w:pStyle w:val="Sinespaciado"/>
        <w:numPr>
          <w:ilvl w:val="0"/>
          <w:numId w:val="4"/>
        </w:numPr>
        <w:jc w:val="both"/>
      </w:pPr>
      <w:r>
        <w:t xml:space="preserve">Conclusión  </w:t>
      </w:r>
    </w:p>
    <w:p w:rsidR="0021548B" w:rsidRDefault="0021548B" w:rsidP="0009022C">
      <w:pPr>
        <w:pStyle w:val="Sinespaciado"/>
        <w:jc w:val="both"/>
      </w:pPr>
    </w:p>
    <w:p w:rsidR="0009022C" w:rsidRDefault="004E71C4" w:rsidP="0009022C">
      <w:pPr>
        <w:pStyle w:val="Sinespaciado"/>
        <w:jc w:val="both"/>
      </w:pPr>
      <w:r>
        <w:lastRenderedPageBreak/>
        <w:tab/>
      </w:r>
      <w:r w:rsidR="0009022C">
        <w:t xml:space="preserve">Bajo estas consideraciones, no se encuentra viable excluir por motivo de obsolescencia las </w:t>
      </w:r>
      <w:r>
        <w:tab/>
      </w:r>
      <w:r w:rsidR="0009022C">
        <w:t xml:space="preserve">normas señaladas en el literal a del numeral 2 del presente documento. </w:t>
      </w:r>
    </w:p>
    <w:p w:rsidR="0021548B" w:rsidRDefault="0021548B" w:rsidP="0009022C">
      <w:pPr>
        <w:pStyle w:val="Sinespaciado"/>
        <w:jc w:val="both"/>
      </w:pPr>
    </w:p>
    <w:p w:rsidR="0009022C" w:rsidRDefault="004E71C4" w:rsidP="0009022C">
      <w:pPr>
        <w:pStyle w:val="Sinespaciado"/>
        <w:jc w:val="both"/>
      </w:pPr>
      <w:r>
        <w:tab/>
      </w:r>
      <w:r w:rsidR="0009022C">
        <w:t xml:space="preserve">Tampoco es posible pronunciarse sobre la vigencia de aquellas que no corresponden al </w:t>
      </w:r>
      <w:r>
        <w:tab/>
      </w:r>
      <w:r w:rsidR="0009022C">
        <w:t xml:space="preserve">sector como las contenidas en el literal b del numeral 2 del presente documento. </w:t>
      </w:r>
    </w:p>
    <w:p w:rsidR="0009022C" w:rsidRDefault="0009022C" w:rsidP="0009022C">
      <w:pPr>
        <w:pStyle w:val="Sinespaciado"/>
        <w:jc w:val="both"/>
      </w:pPr>
    </w:p>
    <w:p w:rsidR="00A249E2" w:rsidRDefault="00A249E2" w:rsidP="00535B14">
      <w:pPr>
        <w:rPr>
          <w:b/>
          <w:i/>
        </w:rPr>
      </w:pPr>
    </w:p>
    <w:p w:rsidR="00535B14" w:rsidRDefault="00535B14" w:rsidP="00535B14">
      <w:r w:rsidRPr="008505DD">
        <w:rPr>
          <w:b/>
          <w:i/>
        </w:rPr>
        <w:t xml:space="preserve">Análisis de información </w:t>
      </w:r>
      <w:r>
        <w:rPr>
          <w:b/>
          <w:i/>
        </w:rPr>
        <w:t>Entidades adscritas</w:t>
      </w:r>
      <w:r>
        <w:t>:</w:t>
      </w:r>
    </w:p>
    <w:p w:rsidR="00535B14" w:rsidRDefault="00535B14" w:rsidP="00535B14">
      <w:pPr>
        <w:pStyle w:val="Prrafodelista"/>
        <w:numPr>
          <w:ilvl w:val="0"/>
          <w:numId w:val="7"/>
        </w:numPr>
      </w:pPr>
      <w:r>
        <w:t>Participaciones:</w:t>
      </w:r>
    </w:p>
    <w:p w:rsidR="00535B14" w:rsidRDefault="00535B14" w:rsidP="00535B14">
      <w:pPr>
        <w:pStyle w:val="Prrafodelista"/>
        <w:numPr>
          <w:ilvl w:val="0"/>
          <w:numId w:val="2"/>
        </w:numPr>
      </w:pPr>
      <w:r>
        <w:t>Total de participaciones 28:  23 CNMH, 3 UARIV y 2 ICBF</w:t>
      </w:r>
    </w:p>
    <w:p w:rsidR="00535B14" w:rsidRDefault="00535B14" w:rsidP="00535B14">
      <w:pPr>
        <w:pStyle w:val="Prrafodelista"/>
        <w:numPr>
          <w:ilvl w:val="0"/>
          <w:numId w:val="2"/>
        </w:numPr>
      </w:pPr>
      <w:r>
        <w:t>Número de ciudadanos 2</w:t>
      </w:r>
      <w:r w:rsidR="00601E60">
        <w:t>7</w:t>
      </w:r>
      <w:r>
        <w:t>: 23 CNMH, 3 UARIV y 1 ICBF</w:t>
      </w:r>
    </w:p>
    <w:p w:rsidR="00535B14" w:rsidRDefault="00535B14" w:rsidP="009A73CF">
      <w:pPr>
        <w:pStyle w:val="Prrafodelista"/>
        <w:numPr>
          <w:ilvl w:val="0"/>
          <w:numId w:val="2"/>
        </w:numPr>
      </w:pPr>
      <w:r>
        <w:t>Número de Servidores públicos:  1 ICBF</w:t>
      </w:r>
    </w:p>
    <w:p w:rsidR="00535B14" w:rsidRDefault="00535B14" w:rsidP="00535B14">
      <w:pPr>
        <w:pStyle w:val="Prrafodelista"/>
      </w:pPr>
    </w:p>
    <w:p w:rsidR="00535B14" w:rsidRDefault="00535B14" w:rsidP="00535B14">
      <w:pPr>
        <w:pStyle w:val="Prrafodelista"/>
        <w:numPr>
          <w:ilvl w:val="0"/>
          <w:numId w:val="1"/>
        </w:numPr>
      </w:pPr>
      <w:r>
        <w:t>Observaciones:</w:t>
      </w:r>
    </w:p>
    <w:p w:rsidR="00535B14" w:rsidRDefault="00535B14" w:rsidP="00535B14">
      <w:pPr>
        <w:pStyle w:val="Prrafodelista"/>
      </w:pPr>
    </w:p>
    <w:p w:rsidR="00F803AF" w:rsidRPr="00FF3D3D" w:rsidRDefault="00535B14" w:rsidP="00F803AF">
      <w:pPr>
        <w:pStyle w:val="Prrafodelista"/>
        <w:jc w:val="both"/>
      </w:pPr>
      <w:r>
        <w:t xml:space="preserve">De las 28 participaciones dirigidas para las entidades adscritas se logró identificar que 23 estaban orientadas al </w:t>
      </w:r>
      <w:r w:rsidR="00A249E2">
        <w:t>trámite</w:t>
      </w:r>
      <w:r>
        <w:t xml:space="preserve"> </w:t>
      </w:r>
      <w:r w:rsidRPr="00AB3A07">
        <w:rPr>
          <w:b/>
        </w:rPr>
        <w:t>“Certificación de contribución a la verdad y la memoria histórica”</w:t>
      </w:r>
      <w:r>
        <w:rPr>
          <w:b/>
        </w:rPr>
        <w:t xml:space="preserve"> </w:t>
      </w:r>
      <w:r w:rsidR="00F803AF" w:rsidRPr="00FF3D3D">
        <w:t xml:space="preserve">Producto de la tabulación y del análisis de la información recopilada, se logró identificar que el 96% de los usuarios de este trámite se encuentran satisfechos con este, manifestando que no hay nada por mejorar,  el 4% restante manifestó que un punto a mejorar es el desplazamiento al momento de ser notificados para la entrega de la certificación de contribución a la verdad y la memoria histórica. </w:t>
      </w:r>
    </w:p>
    <w:p w:rsidR="00FF3D3D" w:rsidRDefault="00FF3D3D" w:rsidP="00F803AF">
      <w:pPr>
        <w:pStyle w:val="Prrafodelista"/>
        <w:jc w:val="both"/>
      </w:pPr>
    </w:p>
    <w:p w:rsidR="00F803AF" w:rsidRPr="00FF3D3D" w:rsidRDefault="00F803AF" w:rsidP="00F803AF">
      <w:pPr>
        <w:pStyle w:val="Prrafodelista"/>
        <w:jc w:val="both"/>
      </w:pPr>
      <w:bookmarkStart w:id="1" w:name="_GoBack"/>
      <w:bookmarkEnd w:id="1"/>
      <w:r w:rsidRPr="00FF3D3D">
        <w:t>Sin embargo, es importante resaltar que el Centro Nacional de Memoria Histórica, desde la Dirección de Acuerdos de la Verdad, ha implementado diferentes medios que facilitan al ciudadano el proceso de notificación, sin que se requiere el desplazamiento al punto de atención establecido por la Entidad. Los canales establecidos son:</w:t>
      </w:r>
    </w:p>
    <w:p w:rsidR="00F803AF" w:rsidRPr="00FF3D3D" w:rsidRDefault="00F803AF" w:rsidP="00F803AF">
      <w:pPr>
        <w:pStyle w:val="Prrafodelista"/>
        <w:jc w:val="both"/>
      </w:pPr>
    </w:p>
    <w:p w:rsidR="00F803AF" w:rsidRPr="00FF3D3D" w:rsidRDefault="00F803AF" w:rsidP="00F803AF">
      <w:pPr>
        <w:pStyle w:val="Prrafodelista"/>
        <w:jc w:val="both"/>
      </w:pPr>
      <w:r w:rsidRPr="00FF3D3D">
        <w:t>1. Notificación por aviso</w:t>
      </w:r>
    </w:p>
    <w:p w:rsidR="00F803AF" w:rsidRPr="00FF3D3D" w:rsidRDefault="00F803AF" w:rsidP="00F803AF">
      <w:pPr>
        <w:pStyle w:val="Prrafodelista"/>
        <w:jc w:val="both"/>
      </w:pPr>
      <w:r w:rsidRPr="00FF3D3D">
        <w:t>2. Notificación por página web</w:t>
      </w:r>
    </w:p>
    <w:p w:rsidR="00F803AF" w:rsidRPr="00FF3D3D" w:rsidRDefault="00F803AF" w:rsidP="00F803AF">
      <w:pPr>
        <w:pStyle w:val="Prrafodelista"/>
        <w:jc w:val="both"/>
      </w:pPr>
    </w:p>
    <w:p w:rsidR="00F803AF" w:rsidRPr="00FF3D3D" w:rsidRDefault="00F803AF" w:rsidP="00F803AF">
      <w:pPr>
        <w:pStyle w:val="Prrafodelista"/>
        <w:jc w:val="both"/>
      </w:pPr>
      <w:r w:rsidRPr="00FF3D3D">
        <w:t>Estos medios, ajustados al Código Contencioso Administrativo (Ley 1437 de 2011), permiten surtir el trámite de notificación, de acuerdo a los lineamientos temporales, agilizando este trámite y que, a su vez, facilita al ciudadano acceder a su certificación para su notificación de dicho acto administrativo.</w:t>
      </w:r>
    </w:p>
    <w:p w:rsidR="00F803AF" w:rsidRPr="00FF3D3D" w:rsidRDefault="00F803AF" w:rsidP="00F803AF">
      <w:pPr>
        <w:pStyle w:val="Prrafodelista"/>
        <w:jc w:val="both"/>
      </w:pPr>
    </w:p>
    <w:p w:rsidR="00F803AF" w:rsidRPr="00FF3D3D" w:rsidRDefault="00F803AF" w:rsidP="00F803AF">
      <w:pPr>
        <w:pStyle w:val="Prrafodelista"/>
        <w:jc w:val="both"/>
      </w:pPr>
      <w:r w:rsidRPr="00FF3D3D">
        <w:t>Este trámite se puede conocer a mayor profundidad en el siguiente vínculo http://www.centrodememoriahistorica.gov.co/destacados-cnmh/certificacion-y-citacion-a-entrevista-en-linea</w:t>
      </w:r>
    </w:p>
    <w:p w:rsidR="00F803AF" w:rsidRPr="00FF3D3D" w:rsidRDefault="00F803AF" w:rsidP="00A249E2">
      <w:pPr>
        <w:pStyle w:val="Prrafodelista"/>
        <w:jc w:val="both"/>
      </w:pPr>
    </w:p>
    <w:p w:rsidR="00A249E2" w:rsidRPr="00535B14" w:rsidRDefault="00A249E2" w:rsidP="00A249E2">
      <w:pPr>
        <w:pStyle w:val="Prrafodelista"/>
        <w:jc w:val="both"/>
      </w:pPr>
      <w:r w:rsidRPr="00FF3D3D">
        <w:lastRenderedPageBreak/>
        <w:t xml:space="preserve">Frente </w:t>
      </w:r>
      <w:proofErr w:type="spellStart"/>
      <w:r w:rsidRPr="00FF3D3D">
        <w:t>al</w:t>
      </w:r>
      <w:proofErr w:type="spellEnd"/>
      <w:r w:rsidRPr="00FF3D3D">
        <w:t xml:space="preserve"> las cinco (5) participaciones restantes </w:t>
      </w:r>
      <w:r w:rsidR="00601E60" w:rsidRPr="00FF3D3D">
        <w:t>remitidas</w:t>
      </w:r>
      <w:r w:rsidRPr="00FF3D3D">
        <w:t xml:space="preserve"> para ICBF y UARIV, no presentan un requerimiento identificable para alguno de los trámites que tengan esas entidades inscritos en el SUIT, por lo que en su autonomía Administrativa definirán su Estrategia de Racionalización derivada de la identificación de necesidades por otras vías</w:t>
      </w:r>
    </w:p>
    <w:p w:rsidR="00535B14" w:rsidRPr="008505DD" w:rsidRDefault="00535B14" w:rsidP="0009022C">
      <w:pPr>
        <w:pStyle w:val="Sinespaciado"/>
        <w:jc w:val="both"/>
      </w:pPr>
    </w:p>
    <w:sectPr w:rsidR="00535B14" w:rsidRPr="008505DD">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FFA" w:rsidRDefault="00C81FFA" w:rsidP="000024F1">
      <w:pPr>
        <w:spacing w:after="0" w:line="240" w:lineRule="auto"/>
      </w:pPr>
      <w:r>
        <w:separator/>
      </w:r>
    </w:p>
  </w:endnote>
  <w:endnote w:type="continuationSeparator" w:id="0">
    <w:p w:rsidR="00C81FFA" w:rsidRDefault="00C81FFA" w:rsidP="00002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4F1" w:rsidRDefault="00C643B6" w:rsidP="00C643B6">
    <w:pPr>
      <w:pStyle w:val="Piedepgina"/>
      <w:jc w:val="center"/>
    </w:pPr>
    <w:r>
      <w:rPr>
        <w:rFonts w:ascii="Arial" w:hAnsi="Arial" w:cs="Arial"/>
        <w:color w:val="000000"/>
        <w:sz w:val="20"/>
        <w:szCs w:val="20"/>
        <w:shd w:val="clear" w:color="auto" w:fill="F5F5F5"/>
      </w:rPr>
      <w:t>Calle 7 No. 6-54 / PBX (57 1) 596 0800 - Bogotá D.C. Colombia </w:t>
    </w:r>
    <w:r>
      <w:rPr>
        <w:rFonts w:ascii="Arial" w:hAnsi="Arial" w:cs="Arial"/>
        <w:color w:val="000000"/>
        <w:sz w:val="20"/>
        <w:szCs w:val="20"/>
      </w:rPr>
      <w:br/>
    </w:r>
    <w:r>
      <w:rPr>
        <w:rFonts w:ascii="Arial" w:hAnsi="Arial" w:cs="Arial"/>
        <w:color w:val="000000"/>
        <w:sz w:val="20"/>
        <w:szCs w:val="20"/>
        <w:shd w:val="clear" w:color="auto" w:fill="F5F5F5"/>
      </w:rPr>
      <w:t>Prosperidad Social © 2016 -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FFA" w:rsidRDefault="00C81FFA" w:rsidP="000024F1">
      <w:pPr>
        <w:spacing w:after="0" w:line="240" w:lineRule="auto"/>
      </w:pPr>
      <w:r>
        <w:separator/>
      </w:r>
    </w:p>
  </w:footnote>
  <w:footnote w:type="continuationSeparator" w:id="0">
    <w:p w:rsidR="00C81FFA" w:rsidRDefault="00C81FFA" w:rsidP="000024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4F1" w:rsidRDefault="000024F1">
    <w:pPr>
      <w:pStyle w:val="Encabezado"/>
    </w:pPr>
    <w:r>
      <w:rPr>
        <w:noProof/>
      </w:rPr>
      <w:drawing>
        <wp:inline distT="0" distB="0" distL="0" distR="0" wp14:anchorId="74E0B9CE" wp14:editId="6C45001B">
          <wp:extent cx="2857500" cy="5715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 LogoEquidad-01.jpg"/>
                  <pic:cNvPicPr/>
                </pic:nvPicPr>
                <pic:blipFill>
                  <a:blip r:embed="rId1">
                    <a:extLst>
                      <a:ext uri="{28A0092B-C50C-407E-A947-70E740481C1C}">
                        <a14:useLocalDpi xmlns:a14="http://schemas.microsoft.com/office/drawing/2010/main" val="0"/>
                      </a:ext>
                    </a:extLst>
                  </a:blip>
                  <a:stretch>
                    <a:fillRect/>
                  </a:stretch>
                </pic:blipFill>
                <pic:spPr>
                  <a:xfrm>
                    <a:off x="0" y="0"/>
                    <a:ext cx="2857500" cy="571500"/>
                  </a:xfrm>
                  <a:prstGeom prst="rect">
                    <a:avLst/>
                  </a:prstGeom>
                </pic:spPr>
              </pic:pic>
            </a:graphicData>
          </a:graphic>
        </wp:inline>
      </w:drawing>
    </w:r>
  </w:p>
  <w:p w:rsidR="000024F1" w:rsidRDefault="000024F1">
    <w:pPr>
      <w:pStyle w:val="Encabezado"/>
    </w:pPr>
  </w:p>
  <w:p w:rsidR="000024F1" w:rsidRDefault="000024F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2E11"/>
    <w:multiLevelType w:val="hybridMultilevel"/>
    <w:tmpl w:val="021658B4"/>
    <w:lvl w:ilvl="0" w:tplc="02CCB8D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1AC34E63"/>
    <w:multiLevelType w:val="hybridMultilevel"/>
    <w:tmpl w:val="A258A18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3B72E5B"/>
    <w:multiLevelType w:val="hybridMultilevel"/>
    <w:tmpl w:val="4210B66C"/>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3" w15:restartNumberingAfterBreak="0">
    <w:nsid w:val="4E8D484B"/>
    <w:multiLevelType w:val="hybridMultilevel"/>
    <w:tmpl w:val="195E6B38"/>
    <w:lvl w:ilvl="0" w:tplc="58E0023C">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5D597A04"/>
    <w:multiLevelType w:val="hybridMultilevel"/>
    <w:tmpl w:val="87262860"/>
    <w:lvl w:ilvl="0" w:tplc="0B8E806E">
      <w:start w:val="2"/>
      <w:numFmt w:val="bullet"/>
      <w:lvlText w:val="-"/>
      <w:lvlJc w:val="left"/>
      <w:pPr>
        <w:ind w:left="1068" w:hanging="360"/>
      </w:pPr>
      <w:rPr>
        <w:rFonts w:ascii="Calibri" w:eastAsiaTheme="minorHAnsi" w:hAnsi="Calibri" w:cstheme="minorBidi"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5" w15:restartNumberingAfterBreak="0">
    <w:nsid w:val="72E17DE3"/>
    <w:multiLevelType w:val="hybridMultilevel"/>
    <w:tmpl w:val="8800D5B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8A408D6"/>
    <w:multiLevelType w:val="hybridMultilevel"/>
    <w:tmpl w:val="22AEE98C"/>
    <w:lvl w:ilvl="0" w:tplc="240A0001">
      <w:start w:val="1"/>
      <w:numFmt w:val="bullet"/>
      <w:lvlText w:val=""/>
      <w:lvlJc w:val="left"/>
      <w:pPr>
        <w:ind w:left="1440" w:hanging="360"/>
      </w:pPr>
      <w:rPr>
        <w:rFonts w:ascii="Symbol" w:hAnsi="Symbol" w:hint="default"/>
      </w:rPr>
    </w:lvl>
    <w:lvl w:ilvl="1" w:tplc="3C4EE16E">
      <w:numFmt w:val="bullet"/>
      <w:lvlText w:val="•"/>
      <w:lvlJc w:val="left"/>
      <w:pPr>
        <w:ind w:left="2505" w:hanging="705"/>
      </w:pPr>
      <w:rPr>
        <w:rFonts w:ascii="Calibri" w:eastAsiaTheme="minorHAnsi" w:hAnsi="Calibri" w:cstheme="minorBidi"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DA5"/>
    <w:rsid w:val="000024F1"/>
    <w:rsid w:val="00052972"/>
    <w:rsid w:val="0009022C"/>
    <w:rsid w:val="000A6967"/>
    <w:rsid w:val="000E1BF5"/>
    <w:rsid w:val="001677AC"/>
    <w:rsid w:val="00182F7A"/>
    <w:rsid w:val="0021548B"/>
    <w:rsid w:val="0036125F"/>
    <w:rsid w:val="003D142E"/>
    <w:rsid w:val="004E71C4"/>
    <w:rsid w:val="00535B14"/>
    <w:rsid w:val="00601E60"/>
    <w:rsid w:val="00614431"/>
    <w:rsid w:val="006322DC"/>
    <w:rsid w:val="007560A6"/>
    <w:rsid w:val="007F27E8"/>
    <w:rsid w:val="008505DD"/>
    <w:rsid w:val="00980538"/>
    <w:rsid w:val="009E6576"/>
    <w:rsid w:val="00A249E2"/>
    <w:rsid w:val="00A85FD1"/>
    <w:rsid w:val="00AB3A07"/>
    <w:rsid w:val="00B72257"/>
    <w:rsid w:val="00C643B6"/>
    <w:rsid w:val="00C81FFA"/>
    <w:rsid w:val="00CD2D14"/>
    <w:rsid w:val="00D606A9"/>
    <w:rsid w:val="00D877A0"/>
    <w:rsid w:val="00DB1F38"/>
    <w:rsid w:val="00E34AD8"/>
    <w:rsid w:val="00E42D74"/>
    <w:rsid w:val="00E65C09"/>
    <w:rsid w:val="00F57DA5"/>
    <w:rsid w:val="00F6513C"/>
    <w:rsid w:val="00F7085F"/>
    <w:rsid w:val="00F803AF"/>
    <w:rsid w:val="00F82547"/>
    <w:rsid w:val="00FC66FC"/>
    <w:rsid w:val="00FF3D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D1B12"/>
  <w15:chartTrackingRefBased/>
  <w15:docId w15:val="{F6A851D1-17D0-4315-B2B2-4A2D90EDC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5B1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24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24F1"/>
  </w:style>
  <w:style w:type="paragraph" w:styleId="Piedepgina">
    <w:name w:val="footer"/>
    <w:basedOn w:val="Normal"/>
    <w:link w:val="PiedepginaCar"/>
    <w:uiPriority w:val="99"/>
    <w:unhideWhenUsed/>
    <w:rsid w:val="000024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24F1"/>
  </w:style>
  <w:style w:type="table" w:styleId="Tablaconcuadrcula">
    <w:name w:val="Table Grid"/>
    <w:basedOn w:val="Tablanormal"/>
    <w:uiPriority w:val="39"/>
    <w:rsid w:val="00E65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505DD"/>
    <w:pPr>
      <w:ind w:left="720"/>
      <w:contextualSpacing/>
    </w:pPr>
  </w:style>
  <w:style w:type="paragraph" w:styleId="Sinespaciado">
    <w:name w:val="No Spacing"/>
    <w:uiPriority w:val="1"/>
    <w:qFormat/>
    <w:rsid w:val="000902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529189">
      <w:bodyDiv w:val="1"/>
      <w:marLeft w:val="0"/>
      <w:marRight w:val="0"/>
      <w:marTop w:val="0"/>
      <w:marBottom w:val="0"/>
      <w:divBdr>
        <w:top w:val="none" w:sz="0" w:space="0" w:color="auto"/>
        <w:left w:val="none" w:sz="0" w:space="0" w:color="auto"/>
        <w:bottom w:val="none" w:sz="0" w:space="0" w:color="auto"/>
        <w:right w:val="none" w:sz="0" w:space="0" w:color="auto"/>
      </w:divBdr>
    </w:div>
    <w:div w:id="615789815">
      <w:bodyDiv w:val="1"/>
      <w:marLeft w:val="0"/>
      <w:marRight w:val="0"/>
      <w:marTop w:val="0"/>
      <w:marBottom w:val="0"/>
      <w:divBdr>
        <w:top w:val="none" w:sz="0" w:space="0" w:color="auto"/>
        <w:left w:val="none" w:sz="0" w:space="0" w:color="auto"/>
        <w:bottom w:val="none" w:sz="0" w:space="0" w:color="auto"/>
        <w:right w:val="none" w:sz="0" w:space="0" w:color="auto"/>
      </w:divBdr>
    </w:div>
    <w:div w:id="1727950636">
      <w:bodyDiv w:val="1"/>
      <w:marLeft w:val="0"/>
      <w:marRight w:val="0"/>
      <w:marTop w:val="0"/>
      <w:marBottom w:val="0"/>
      <w:divBdr>
        <w:top w:val="none" w:sz="0" w:space="0" w:color="auto"/>
        <w:left w:val="none" w:sz="0" w:space="0" w:color="auto"/>
        <w:bottom w:val="none" w:sz="0" w:space="0" w:color="auto"/>
        <w:right w:val="none" w:sz="0" w:space="0" w:color="auto"/>
      </w:divBdr>
    </w:div>
    <w:div w:id="211350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Sección xmlns="fe5c55e1-1529-428c-8c16-ada3460a0e7a" xsi:nil="true"/>
    <LikedBy xmlns="http://schemas.microsoft.com/sharepoint/v3">
      <UserInfo>
        <DisplayName/>
        <AccountId xsi:nil="true"/>
        <AccountType/>
      </UserInfo>
    </LikedBy>
    <RatedBy xmlns="http://schemas.microsoft.com/sharepoint/v3">
      <UserInfo>
        <DisplayName/>
        <AccountId xsi:nil="true"/>
        <AccountType/>
      </UserInfo>
    </RatedBy>
    <_dlc_DocId xmlns="fe5c55e1-1529-428c-8c16-ada3460a0e7a">A65FJVFR3NAS-1820456951-834</_dlc_DocId>
    <_dlc_DocIdUrl xmlns="fe5c55e1-1529-428c-8c16-ada3460a0e7a">
      <Url>http://tame/_layouts/15/DocIdRedir.aspx?ID=A65FJVFR3NAS-1820456951-834</Url>
      <Description>A65FJVFR3NAS-1820456951-834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CF2AFB48AEEF04686B54E7662D2A024" ma:contentTypeVersion="8" ma:contentTypeDescription="Crear nuevo documento." ma:contentTypeScope="" ma:versionID="9153f1c5f5ad5a04b5a425fac3994e58">
  <xsd:schema xmlns:xsd="http://www.w3.org/2001/XMLSchema" xmlns:xs="http://www.w3.org/2001/XMLSchema" xmlns:p="http://schemas.microsoft.com/office/2006/metadata/properties" xmlns:ns1="http://schemas.microsoft.com/sharepoint/v3" xmlns:ns2="fe5c55e1-1529-428c-8c16-ada3460a0e7a" targetNamespace="http://schemas.microsoft.com/office/2006/metadata/properties" ma:root="true" ma:fieldsID="6fe375bef0e6cd8163217c6ec2aa7b25" ns1:_="" ns2:_="">
    <xsd:import namespace="http://schemas.microsoft.com/sharepoint/v3"/>
    <xsd:import namespace="fe5c55e1-1529-428c-8c16-ada3460a0e7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ección"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3" nillable="true" ma:displayName="Clasificación (0-5)" ma:decimals="2" ma:description="Valor promedio de todas las clasificaciones que se han enviado" ma:internalName="AverageRating" ma:readOnly="true">
      <xsd:simpleType>
        <xsd:restriction base="dms:Number"/>
      </xsd:simpleType>
    </xsd:element>
    <xsd:element name="RatingCount" ma:index="14" nillable="true" ma:displayName="Número de clasificaciones" ma:decimals="0" ma:description="Número de clasificaciones enviado" ma:internalName="RatingCount" ma:readOnly="true">
      <xsd:simpleType>
        <xsd:restriction base="dms:Number"/>
      </xsd:simpleType>
    </xsd:element>
    <xsd:element name="RatedBy" ma:index="15"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6" nillable="true" ma:displayName="Valoraciones de usuario" ma:description="Valoraciones de usuario para el elemento" ma:hidden="true" ma:internalName="Ratings">
      <xsd:simpleType>
        <xsd:restriction base="dms:Note"/>
      </xsd:simpleType>
    </xsd:element>
    <xsd:element name="LikesCount" ma:index="17" nillable="true" ma:displayName="Número de Me gusta" ma:internalName="LikesCount">
      <xsd:simpleType>
        <xsd:restriction base="dms:Unknown"/>
      </xsd:simpleType>
    </xsd:element>
    <xsd:element name="LikedBy" ma:index="18"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5c55e1-1529-428c-8c16-ada3460a0e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ción" ma:index="12" nillable="true" ma:displayName="Sección" ma:description="Columnas para búsqueda" ma:format="RadioButtons" ma:indexed="true" ma:internalName="Secci_x00f3_n">
      <xsd:simpleType>
        <xsd:restriction base="dms:Choice">
          <xsd:enumeration value="Talento Humano"/>
          <xsd:enumeration value="Jóvenes en Acción"/>
          <xsd:enumeration value="Familias en Acción"/>
          <xsd:enumeration value="Control Inter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7B16A8D-4F02-405D-A95F-DFA0F0AC0EE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6B5A7A8-BD95-449B-BDD5-FD223C84E8EF}"/>
</file>

<file path=customXml/itemProps3.xml><?xml version="1.0" encoding="utf-8"?>
<ds:datastoreItem xmlns:ds="http://schemas.openxmlformats.org/officeDocument/2006/customXml" ds:itemID="{CED8B13A-7B6A-4656-8DFA-263C5E089D16}">
  <ds:schemaRefs>
    <ds:schemaRef ds:uri="http://schemas.microsoft.com/sharepoint/v3/contenttype/forms"/>
  </ds:schemaRefs>
</ds:datastoreItem>
</file>

<file path=customXml/itemProps4.xml><?xml version="1.0" encoding="utf-8"?>
<ds:datastoreItem xmlns:ds="http://schemas.openxmlformats.org/officeDocument/2006/customXml" ds:itemID="{1D84043B-7928-45BA-8454-334AD85435C4}"/>
</file>

<file path=docProps/app.xml><?xml version="1.0" encoding="utf-8"?>
<Properties xmlns="http://schemas.openxmlformats.org/officeDocument/2006/extended-properties" xmlns:vt="http://schemas.openxmlformats.org/officeDocument/2006/docPropsVTypes">
  <Template>Normal</Template>
  <TotalTime>0</TotalTime>
  <Pages>8</Pages>
  <Words>2322</Words>
  <Characters>12774</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Quiroga Carrillo</dc:creator>
  <cp:keywords/>
  <dc:description/>
  <cp:lastModifiedBy>Olga Lucia Gomez Carrillo</cp:lastModifiedBy>
  <cp:revision>2</cp:revision>
  <dcterms:created xsi:type="dcterms:W3CDTF">2019-01-28T21:43:00Z</dcterms:created>
  <dcterms:modified xsi:type="dcterms:W3CDTF">2019-01-28T21:43:00Z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0x0101007CF2AFB48AEEF04686B54E7662D2A024</vt:lpwstr>
  </property>
  <property fmtid="{D5CDD505-2E9C-101B-9397-08002B2CF9AE}" pid="3" name="_dlc_DocIdItemGuid">
    <vt:lpwstr>fae01b0a-04ae-4372-a373-44087c7c7401</vt:lpwstr>
  </property>
</Properties>
</file>